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A5316" w14:textId="77777777" w:rsidR="003A32A7" w:rsidRDefault="003A32A7" w:rsidP="00623531">
      <w:pPr>
        <w:pStyle w:val="Headv1"/>
      </w:pPr>
    </w:p>
    <w:p w14:paraId="78A26302" w14:textId="77777777" w:rsidR="003A32A7" w:rsidRDefault="003A32A7" w:rsidP="00623531">
      <w:pPr>
        <w:pStyle w:val="Headv1"/>
      </w:pPr>
    </w:p>
    <w:p w14:paraId="08BD32D9" w14:textId="7975275E" w:rsidR="0016086E" w:rsidRPr="00C31F14" w:rsidRDefault="0016086E" w:rsidP="00C31F14">
      <w:pPr>
        <w:pStyle w:val="Headv1"/>
        <w:rPr>
          <w:rFonts w:eastAsia="Times"/>
        </w:rPr>
      </w:pPr>
      <w:r w:rsidRPr="00C31F14">
        <w:rPr>
          <w:rFonts w:eastAsia="Times"/>
        </w:rPr>
        <w:t>T</w:t>
      </w:r>
      <w:r w:rsidR="00C31F14" w:rsidRPr="00C31F14">
        <w:rPr>
          <w:rFonts w:eastAsia="Times"/>
        </w:rPr>
        <w:t>2.</w:t>
      </w:r>
      <w:r w:rsidR="009D0D4B">
        <w:rPr>
          <w:rFonts w:eastAsia="Times"/>
        </w:rPr>
        <w:t>11a</w:t>
      </w:r>
      <w:r w:rsidR="00C31F14" w:rsidRPr="00C31F14">
        <w:rPr>
          <w:rFonts w:eastAsia="Times"/>
        </w:rPr>
        <w:t xml:space="preserve"> Programme handbooks – guidance </w:t>
      </w:r>
      <w:r w:rsidR="009717E7">
        <w:rPr>
          <w:rFonts w:eastAsia="Times"/>
        </w:rPr>
        <w:t xml:space="preserve">FOR STAFF </w:t>
      </w:r>
      <w:r w:rsidR="00C31F14" w:rsidRPr="00C31F14">
        <w:rPr>
          <w:rFonts w:eastAsia="Times"/>
        </w:rPr>
        <w:t xml:space="preserve">on </w:t>
      </w:r>
      <w:proofErr w:type="gramStart"/>
      <w:r w:rsidR="00C31F14" w:rsidRPr="00C31F14">
        <w:rPr>
          <w:rFonts w:eastAsia="Times"/>
        </w:rPr>
        <w:t xml:space="preserve">content </w:t>
      </w:r>
      <w:r w:rsidR="009D0D4B">
        <w:rPr>
          <w:rFonts w:eastAsia="Times"/>
        </w:rPr>
        <w:t xml:space="preserve"> and</w:t>
      </w:r>
      <w:proofErr w:type="gramEnd"/>
      <w:r w:rsidR="009D0D4B">
        <w:rPr>
          <w:rFonts w:eastAsia="Times"/>
        </w:rPr>
        <w:t xml:space="preserve"> format</w:t>
      </w:r>
    </w:p>
    <w:p w14:paraId="0B74298B" w14:textId="25739D7A" w:rsidR="00063F37" w:rsidRPr="009D0D4B" w:rsidRDefault="009D0D4B" w:rsidP="00063F37">
      <w:pPr>
        <w:pStyle w:val="textv1"/>
        <w:rPr>
          <w:rFonts w:eastAsia="Times"/>
          <w:b/>
          <w:szCs w:val="22"/>
        </w:rPr>
      </w:pPr>
      <w:r w:rsidRPr="009D0D4B">
        <w:rPr>
          <w:rFonts w:eastAsia="Times"/>
          <w:b/>
          <w:szCs w:val="22"/>
        </w:rPr>
        <w:t xml:space="preserve">Please use guidance/template 2.11B for apprenticeship programme handbooks; and T2.11C for apprenticeship employer handbooks. </w:t>
      </w:r>
    </w:p>
    <w:p w14:paraId="68A97A04" w14:textId="77777777" w:rsidR="009D0D4B" w:rsidRPr="00C31F14" w:rsidRDefault="009D0D4B" w:rsidP="00063F37">
      <w:pPr>
        <w:pStyle w:val="textv1"/>
        <w:rPr>
          <w:rFonts w:eastAsia="Times"/>
          <w:szCs w:val="22"/>
        </w:rPr>
      </w:pPr>
      <w:bookmarkStart w:id="0" w:name="_GoBack"/>
      <w:bookmarkEnd w:id="0"/>
    </w:p>
    <w:p w14:paraId="026A7AEA" w14:textId="54F0E37B" w:rsidR="004353B2" w:rsidRPr="00C31F14" w:rsidRDefault="004353B2" w:rsidP="004353B2">
      <w:pPr>
        <w:rPr>
          <w:rFonts w:cs="Arial"/>
          <w:szCs w:val="22"/>
        </w:rPr>
      </w:pPr>
      <w:r w:rsidRPr="00C31F14">
        <w:rPr>
          <w:rFonts w:cs="Arial"/>
          <w:szCs w:val="22"/>
        </w:rPr>
        <w:t xml:space="preserve">Programme (together with module) handbooks may be regarded as part of the ‘contract’ between the student and the University (and, in the case of collaborative arrangements, the partner organisation); and it is therefore essential that they provide students with accurate and up to date information about their programme of study.  </w:t>
      </w:r>
      <w:r w:rsidR="00972700">
        <w:rPr>
          <w:rFonts w:cs="Arial"/>
          <w:szCs w:val="22"/>
        </w:rPr>
        <w:t>T</w:t>
      </w:r>
      <w:r w:rsidR="00972700" w:rsidRPr="00C31F14">
        <w:rPr>
          <w:rFonts w:cs="Arial"/>
          <w:szCs w:val="22"/>
        </w:rPr>
        <w:t>his guidance sets out the core information which must be included in all programme handbooks, and which programme teams should supplement with programme and Department/Partner-specific details.</w:t>
      </w:r>
    </w:p>
    <w:p w14:paraId="49FA0613" w14:textId="77777777" w:rsidR="004353B2" w:rsidRPr="00C31F14" w:rsidRDefault="004353B2" w:rsidP="004353B2">
      <w:pPr>
        <w:rPr>
          <w:rFonts w:cs="Arial"/>
          <w:szCs w:val="22"/>
        </w:rPr>
      </w:pPr>
    </w:p>
    <w:p w14:paraId="4BB6C78A" w14:textId="4EBD7AF8" w:rsidR="004353B2" w:rsidRPr="00C31F14" w:rsidRDefault="004353B2" w:rsidP="004353B2">
      <w:pPr>
        <w:rPr>
          <w:rFonts w:cs="Arial"/>
          <w:szCs w:val="22"/>
        </w:rPr>
      </w:pPr>
      <w:r w:rsidRPr="00C31F14">
        <w:rPr>
          <w:rFonts w:cs="Arial"/>
          <w:szCs w:val="22"/>
        </w:rPr>
        <w:t>Handbooks should be directly addressed to the students on the programme: the style of writing should be informative and non-biased, in order to give students an accurate picture of the demands of the prog</w:t>
      </w:r>
      <w:r w:rsidR="00C31F14">
        <w:rPr>
          <w:rFonts w:cs="Arial"/>
          <w:szCs w:val="22"/>
        </w:rPr>
        <w:t xml:space="preserve">ramme, and their entitlements. </w:t>
      </w:r>
      <w:r w:rsidR="0095712F">
        <w:rPr>
          <w:rFonts w:cs="Arial"/>
          <w:szCs w:val="22"/>
        </w:rPr>
        <w:t xml:space="preserve"> </w:t>
      </w:r>
      <w:r w:rsidRPr="00C31F14">
        <w:rPr>
          <w:rFonts w:cs="Arial"/>
          <w:szCs w:val="22"/>
        </w:rPr>
        <w:t>University policies and regulations do not all need to be reproduced in full, but, where there is an expectation that students will be able to access the published regulations online, they should be referenced (</w:t>
      </w:r>
      <w:r w:rsidR="00C31F14">
        <w:rPr>
          <w:rFonts w:cs="Arial"/>
          <w:szCs w:val="22"/>
        </w:rPr>
        <w:t xml:space="preserve">i.e. </w:t>
      </w:r>
      <w:r w:rsidR="00206D8D">
        <w:rPr>
          <w:rFonts w:cs="Arial"/>
          <w:szCs w:val="22"/>
        </w:rPr>
        <w:t xml:space="preserve">via </w:t>
      </w:r>
      <w:r w:rsidR="00C31F14">
        <w:rPr>
          <w:rFonts w:cs="Arial"/>
          <w:szCs w:val="22"/>
        </w:rPr>
        <w:t xml:space="preserve">hyperlinks) in handbooks. </w:t>
      </w:r>
      <w:r w:rsidRPr="00C31F14">
        <w:rPr>
          <w:rFonts w:cs="Arial"/>
          <w:szCs w:val="22"/>
        </w:rPr>
        <w:t xml:space="preserve">Any specific programme regulations should be included in handbooks. </w:t>
      </w:r>
    </w:p>
    <w:p w14:paraId="3E11DED0" w14:textId="77777777" w:rsidR="004353B2" w:rsidRPr="00C31F14" w:rsidRDefault="004353B2" w:rsidP="004353B2">
      <w:pPr>
        <w:rPr>
          <w:rFonts w:cs="Arial"/>
          <w:szCs w:val="22"/>
        </w:rPr>
      </w:pPr>
    </w:p>
    <w:p w14:paraId="4E9D97B2" w14:textId="0793DE22" w:rsidR="004353B2" w:rsidRPr="00C31F14" w:rsidRDefault="004353B2" w:rsidP="004353B2">
      <w:pPr>
        <w:rPr>
          <w:rFonts w:cs="Arial"/>
          <w:szCs w:val="22"/>
        </w:rPr>
      </w:pPr>
      <w:r w:rsidRPr="00C31F14">
        <w:rPr>
          <w:rFonts w:cs="Arial"/>
          <w:szCs w:val="22"/>
        </w:rPr>
        <w:t xml:space="preserve">The information in this guide applies equally to handbooks prepared by partners, although they will need to be contextualised </w:t>
      </w:r>
      <w:r w:rsidR="00C31F14">
        <w:rPr>
          <w:rFonts w:cs="Arial"/>
          <w:szCs w:val="22"/>
        </w:rPr>
        <w:t xml:space="preserve">to meet local needs. </w:t>
      </w:r>
      <w:r w:rsidRPr="00C31F14">
        <w:rPr>
          <w:rFonts w:cs="Arial"/>
          <w:szCs w:val="22"/>
        </w:rPr>
        <w:t xml:space="preserve">The Liaison Manager must regularly check all handbooks to ensure they </w:t>
      </w:r>
      <w:r w:rsidR="00206D8D">
        <w:rPr>
          <w:rFonts w:cs="Arial"/>
          <w:szCs w:val="22"/>
        </w:rPr>
        <w:t xml:space="preserve">also </w:t>
      </w:r>
      <w:r w:rsidRPr="00C31F14">
        <w:rPr>
          <w:rFonts w:cs="Arial"/>
          <w:szCs w:val="22"/>
        </w:rPr>
        <w:t xml:space="preserve">meet University requirements - where the programme is also delivered at Brookes, the content of the handbooks should be comparable.  </w:t>
      </w:r>
    </w:p>
    <w:p w14:paraId="0ED1621B" w14:textId="77777777" w:rsidR="004353B2" w:rsidRPr="00C31F14" w:rsidRDefault="004353B2" w:rsidP="004353B2">
      <w:pPr>
        <w:rPr>
          <w:rFonts w:cs="Arial"/>
          <w:szCs w:val="22"/>
        </w:rPr>
      </w:pPr>
    </w:p>
    <w:p w14:paraId="11AD6281" w14:textId="58F993D8" w:rsidR="004353B2" w:rsidRDefault="009D61E2" w:rsidP="004353B2">
      <w:pPr>
        <w:rPr>
          <w:rFonts w:cs="Arial"/>
          <w:szCs w:val="22"/>
        </w:rPr>
      </w:pPr>
      <w:r>
        <w:rPr>
          <w:rFonts w:cs="Arial"/>
          <w:szCs w:val="22"/>
        </w:rPr>
        <w:t>For international partnerships, i</w:t>
      </w:r>
      <w:r w:rsidR="004353B2" w:rsidRPr="00C31F14">
        <w:rPr>
          <w:rFonts w:cs="Arial"/>
          <w:szCs w:val="22"/>
        </w:rPr>
        <w:t xml:space="preserve">f programme handbooks are to be provided to students in a language other than English, approval is still required through the normal process, i.e. they should be produced in English and appropriate arrangements for translation made following approval. </w:t>
      </w:r>
    </w:p>
    <w:p w14:paraId="370ABDCE" w14:textId="77777777" w:rsidR="00E31754" w:rsidRDefault="00E31754" w:rsidP="004353B2">
      <w:pPr>
        <w:rPr>
          <w:rFonts w:cs="Arial"/>
          <w:szCs w:val="22"/>
        </w:rPr>
      </w:pPr>
    </w:p>
    <w:p w14:paraId="32205610" w14:textId="0AF909F5" w:rsidR="00E31754" w:rsidRPr="009717E7" w:rsidRDefault="00E31754" w:rsidP="004353B2">
      <w:pPr>
        <w:rPr>
          <w:rFonts w:cs="Arial"/>
          <w:b/>
          <w:szCs w:val="22"/>
        </w:rPr>
      </w:pPr>
      <w:r w:rsidRPr="009717E7">
        <w:rPr>
          <w:rFonts w:cs="Arial"/>
          <w:b/>
          <w:szCs w:val="22"/>
        </w:rPr>
        <w:t xml:space="preserve">Please ensure the handbook meets accessibility requirements for any format in which it is provided to students.  Guidance and tools on digital accessibility can be found at </w:t>
      </w:r>
      <w:hyperlink r:id="rId9" w:history="1">
        <w:r w:rsidRPr="009717E7">
          <w:rPr>
            <w:rStyle w:val="Hyperlink"/>
            <w:b/>
          </w:rPr>
          <w:t>https://www.brookes.ac.uk/accessibility/</w:t>
        </w:r>
      </w:hyperlink>
    </w:p>
    <w:p w14:paraId="43A8A749" w14:textId="77777777" w:rsidR="004353B2" w:rsidRPr="00C31F14" w:rsidRDefault="004353B2" w:rsidP="004353B2">
      <w:pPr>
        <w:rPr>
          <w:szCs w:val="22"/>
        </w:rPr>
      </w:pPr>
    </w:p>
    <w:p w14:paraId="38266CBE" w14:textId="77777777" w:rsidR="004353B2" w:rsidRPr="00C31F14" w:rsidRDefault="004353B2" w:rsidP="004353B2">
      <w:pPr>
        <w:rPr>
          <w:rFonts w:cs="Arial"/>
          <w:szCs w:val="22"/>
        </w:rPr>
      </w:pPr>
    </w:p>
    <w:p w14:paraId="35268AF8" w14:textId="77777777" w:rsidR="004353B2" w:rsidRDefault="004353B2" w:rsidP="00C31F14">
      <w:pPr>
        <w:pStyle w:val="Headv2"/>
      </w:pPr>
      <w:r>
        <w:t xml:space="preserve">Front cover </w:t>
      </w:r>
    </w:p>
    <w:p w14:paraId="22AE0CAF" w14:textId="5CFB14BB" w:rsidR="004353B2" w:rsidRDefault="004353B2" w:rsidP="004353B2">
      <w:pPr>
        <w:rPr>
          <w:rFonts w:cs="Arial"/>
          <w:szCs w:val="22"/>
        </w:rPr>
      </w:pPr>
      <w:r>
        <w:rPr>
          <w:rFonts w:cs="Arial"/>
          <w:szCs w:val="22"/>
        </w:rPr>
        <w:t xml:space="preserve">The cover of the handbook should be printed on the </w:t>
      </w:r>
      <w:r w:rsidR="00972700">
        <w:rPr>
          <w:rFonts w:cs="Arial"/>
          <w:szCs w:val="22"/>
        </w:rPr>
        <w:t xml:space="preserve">appropriate </w:t>
      </w:r>
      <w:r>
        <w:rPr>
          <w:rFonts w:cs="Arial"/>
          <w:szCs w:val="22"/>
        </w:rPr>
        <w:t xml:space="preserve">Brookes template to comply with the University’s new visual identity (for collaborative arrangements </w:t>
      </w:r>
      <w:r w:rsidR="00972700">
        <w:rPr>
          <w:rFonts w:cs="Arial"/>
          <w:szCs w:val="22"/>
        </w:rPr>
        <w:t>which do not use</w:t>
      </w:r>
      <w:r>
        <w:rPr>
          <w:rFonts w:cs="Arial"/>
          <w:szCs w:val="22"/>
        </w:rPr>
        <w:t xml:space="preserve"> the University branded template, the University’s logo should be included on the front cover with that of the partner organisation), and should give the following information:</w:t>
      </w:r>
    </w:p>
    <w:p w14:paraId="0A295F15" w14:textId="77777777" w:rsidR="00C31F14" w:rsidRDefault="00C31F14" w:rsidP="004353B2">
      <w:pPr>
        <w:rPr>
          <w:rFonts w:cs="Arial"/>
          <w:szCs w:val="22"/>
        </w:rPr>
      </w:pPr>
    </w:p>
    <w:p w14:paraId="7031635F" w14:textId="77777777" w:rsidR="004353B2" w:rsidRPr="00C31F14" w:rsidRDefault="004353B2" w:rsidP="00C31F14">
      <w:pPr>
        <w:pStyle w:val="ListParagraph"/>
        <w:numPr>
          <w:ilvl w:val="0"/>
          <w:numId w:val="12"/>
        </w:numPr>
        <w:rPr>
          <w:rFonts w:cs="Arial"/>
          <w:szCs w:val="22"/>
        </w:rPr>
      </w:pPr>
      <w:r w:rsidRPr="00C31F14">
        <w:rPr>
          <w:rFonts w:cs="Arial"/>
          <w:szCs w:val="22"/>
        </w:rPr>
        <w:t>Programme title and code</w:t>
      </w:r>
    </w:p>
    <w:p w14:paraId="31BE1CF0" w14:textId="77777777" w:rsidR="004353B2" w:rsidRPr="00C31F14" w:rsidRDefault="004353B2" w:rsidP="00C31F14">
      <w:pPr>
        <w:pStyle w:val="ListParagraph"/>
        <w:numPr>
          <w:ilvl w:val="0"/>
          <w:numId w:val="12"/>
        </w:numPr>
        <w:rPr>
          <w:rFonts w:cs="Arial"/>
          <w:szCs w:val="22"/>
        </w:rPr>
      </w:pPr>
      <w:r w:rsidRPr="00C31F14">
        <w:rPr>
          <w:rFonts w:cs="Arial"/>
          <w:szCs w:val="22"/>
        </w:rPr>
        <w:t>Final and alternative exit awards</w:t>
      </w:r>
    </w:p>
    <w:p w14:paraId="6568EC8A" w14:textId="77777777" w:rsidR="004353B2" w:rsidRPr="00C31F14" w:rsidRDefault="004353B2" w:rsidP="00C31F14">
      <w:pPr>
        <w:pStyle w:val="ListParagraph"/>
        <w:numPr>
          <w:ilvl w:val="0"/>
          <w:numId w:val="12"/>
        </w:numPr>
        <w:rPr>
          <w:rFonts w:cs="Arial"/>
          <w:szCs w:val="22"/>
        </w:rPr>
      </w:pPr>
      <w:r w:rsidRPr="00C31F14">
        <w:rPr>
          <w:rFonts w:cs="Arial"/>
          <w:szCs w:val="22"/>
        </w:rPr>
        <w:t>Mode/s of study available</w:t>
      </w:r>
    </w:p>
    <w:p w14:paraId="054763AC" w14:textId="77777777" w:rsidR="004353B2" w:rsidRPr="00C31F14" w:rsidRDefault="004353B2" w:rsidP="00C31F14">
      <w:pPr>
        <w:pStyle w:val="ListParagraph"/>
        <w:numPr>
          <w:ilvl w:val="0"/>
          <w:numId w:val="12"/>
        </w:numPr>
        <w:rPr>
          <w:rFonts w:cs="Arial"/>
          <w:szCs w:val="22"/>
        </w:rPr>
      </w:pPr>
      <w:r w:rsidRPr="00C31F14">
        <w:rPr>
          <w:rFonts w:cs="Arial"/>
          <w:szCs w:val="22"/>
        </w:rPr>
        <w:t>Professional body accrediting the programme (if applicable)</w:t>
      </w:r>
    </w:p>
    <w:p w14:paraId="1EC7626D" w14:textId="77777777" w:rsidR="004353B2" w:rsidRPr="00C31F14" w:rsidRDefault="004353B2" w:rsidP="00C31F14">
      <w:pPr>
        <w:pStyle w:val="ListParagraph"/>
        <w:numPr>
          <w:ilvl w:val="0"/>
          <w:numId w:val="12"/>
        </w:numPr>
        <w:rPr>
          <w:rFonts w:cs="Arial"/>
          <w:szCs w:val="22"/>
        </w:rPr>
      </w:pPr>
      <w:r w:rsidRPr="00C31F14">
        <w:rPr>
          <w:rFonts w:cs="Arial"/>
          <w:szCs w:val="22"/>
        </w:rPr>
        <w:t>Department/School or name of partner organisation delivering provision, and the managing Faculty</w:t>
      </w:r>
    </w:p>
    <w:p w14:paraId="6217B820" w14:textId="61668AD3" w:rsidR="004353B2" w:rsidRPr="00C31F14" w:rsidRDefault="004353B2" w:rsidP="00C31F14">
      <w:pPr>
        <w:pStyle w:val="ListParagraph"/>
        <w:numPr>
          <w:ilvl w:val="0"/>
          <w:numId w:val="12"/>
        </w:numPr>
        <w:rPr>
          <w:rFonts w:cs="Arial"/>
          <w:szCs w:val="22"/>
        </w:rPr>
      </w:pPr>
      <w:r w:rsidRPr="00C31F14">
        <w:rPr>
          <w:rFonts w:cs="Arial"/>
          <w:szCs w:val="22"/>
        </w:rPr>
        <w:t xml:space="preserve">Name of </w:t>
      </w:r>
      <w:r w:rsidR="00206D8D">
        <w:rPr>
          <w:rFonts w:cs="Arial"/>
          <w:szCs w:val="22"/>
        </w:rPr>
        <w:t>Subject Coordinator/</w:t>
      </w:r>
      <w:r w:rsidRPr="00C31F14">
        <w:rPr>
          <w:rFonts w:cs="Arial"/>
          <w:szCs w:val="22"/>
        </w:rPr>
        <w:t>Programme Lead/Partner Programme Manager</w:t>
      </w:r>
      <w:r w:rsidR="00206D8D">
        <w:rPr>
          <w:rFonts w:cs="Arial"/>
          <w:szCs w:val="22"/>
        </w:rPr>
        <w:t xml:space="preserve"> (as appropriate)</w:t>
      </w:r>
    </w:p>
    <w:p w14:paraId="42FF9D3C" w14:textId="77777777" w:rsidR="004353B2" w:rsidRPr="00C31F14" w:rsidRDefault="004353B2" w:rsidP="00C31F14">
      <w:pPr>
        <w:pStyle w:val="ListParagraph"/>
        <w:numPr>
          <w:ilvl w:val="0"/>
          <w:numId w:val="12"/>
        </w:numPr>
        <w:rPr>
          <w:rFonts w:cs="Arial"/>
          <w:szCs w:val="22"/>
        </w:rPr>
      </w:pPr>
      <w:r w:rsidRPr="00C31F14">
        <w:rPr>
          <w:rFonts w:cs="Arial"/>
          <w:szCs w:val="22"/>
        </w:rPr>
        <w:t>Name of Liaison Manager (for collaborative provision)</w:t>
      </w:r>
    </w:p>
    <w:p w14:paraId="633FD911" w14:textId="1F2F89A8" w:rsidR="004353B2" w:rsidRDefault="00206D8D" w:rsidP="00C31F14">
      <w:pPr>
        <w:pStyle w:val="ListParagraph"/>
        <w:numPr>
          <w:ilvl w:val="0"/>
          <w:numId w:val="12"/>
        </w:numPr>
        <w:rPr>
          <w:rFonts w:cs="Arial"/>
          <w:szCs w:val="22"/>
        </w:rPr>
      </w:pPr>
      <w:r>
        <w:rPr>
          <w:rFonts w:cs="Arial"/>
          <w:szCs w:val="22"/>
        </w:rPr>
        <w:t xml:space="preserve">Academic year or </w:t>
      </w:r>
      <w:r w:rsidR="004353B2" w:rsidRPr="00C31F14">
        <w:rPr>
          <w:rFonts w:cs="Arial"/>
          <w:szCs w:val="22"/>
        </w:rPr>
        <w:t>cohort to which the handbook relates</w:t>
      </w:r>
    </w:p>
    <w:p w14:paraId="4C3170E2" w14:textId="7E0C3F5A" w:rsidR="00AE18D3" w:rsidRDefault="00AE18D3" w:rsidP="001760C7">
      <w:pPr>
        <w:pStyle w:val="NormalWeb"/>
        <w:numPr>
          <w:ilvl w:val="0"/>
          <w:numId w:val="12"/>
        </w:numPr>
        <w:shd w:val="clear" w:color="auto" w:fill="FFFFFF"/>
        <w:spacing w:before="0" w:beforeAutospacing="0" w:after="200" w:afterAutospacing="0"/>
        <w:jc w:val="both"/>
      </w:pPr>
      <w:r w:rsidRPr="001760C7">
        <w:rPr>
          <w:rFonts w:ascii="Arial" w:hAnsi="Arial" w:cs="Arial"/>
          <w:sz w:val="22"/>
          <w:szCs w:val="22"/>
        </w:rPr>
        <w:t>Covid</w:t>
      </w:r>
      <w:r w:rsidR="000D221A">
        <w:rPr>
          <w:rFonts w:ascii="Arial" w:hAnsi="Arial" w:cs="Arial"/>
          <w:sz w:val="22"/>
          <w:szCs w:val="22"/>
        </w:rPr>
        <w:t>-19</w:t>
      </w:r>
      <w:r w:rsidRPr="001760C7">
        <w:rPr>
          <w:rFonts w:ascii="Arial" w:hAnsi="Arial" w:cs="Arial"/>
          <w:sz w:val="22"/>
          <w:szCs w:val="22"/>
        </w:rPr>
        <w:t xml:space="preserve"> disclaimer</w:t>
      </w:r>
      <w:r w:rsidR="005C5962">
        <w:rPr>
          <w:rFonts w:ascii="Arial" w:hAnsi="Arial" w:cs="Arial"/>
          <w:sz w:val="22"/>
          <w:szCs w:val="22"/>
        </w:rPr>
        <w:t xml:space="preserve">, as agreed by Academic </w:t>
      </w:r>
      <w:proofErr w:type="spellStart"/>
      <w:r w:rsidR="005C5962">
        <w:rPr>
          <w:rFonts w:ascii="Arial" w:hAnsi="Arial" w:cs="Arial"/>
          <w:sz w:val="22"/>
          <w:szCs w:val="22"/>
        </w:rPr>
        <w:t>Covid</w:t>
      </w:r>
      <w:proofErr w:type="spellEnd"/>
      <w:r w:rsidR="005C5962">
        <w:rPr>
          <w:rFonts w:ascii="Arial" w:hAnsi="Arial" w:cs="Arial"/>
          <w:sz w:val="22"/>
          <w:szCs w:val="22"/>
        </w:rPr>
        <w:t xml:space="preserve"> in summer 2020 – this should read</w:t>
      </w:r>
      <w:r w:rsidRPr="001760C7">
        <w:rPr>
          <w:rFonts w:ascii="Arial" w:hAnsi="Arial" w:cs="Arial"/>
          <w:sz w:val="22"/>
          <w:szCs w:val="22"/>
        </w:rPr>
        <w:t>:</w:t>
      </w:r>
      <w:r>
        <w:rPr>
          <w:rFonts w:cs="Arial"/>
          <w:szCs w:val="22"/>
        </w:rPr>
        <w:t xml:space="preserve"> </w:t>
      </w:r>
      <w:r>
        <w:rPr>
          <w:rFonts w:ascii="Arial" w:hAnsi="Arial" w:cs="Arial"/>
          <w:i/>
          <w:iCs/>
          <w:color w:val="222222"/>
          <w:sz w:val="22"/>
          <w:szCs w:val="22"/>
        </w:rPr>
        <w:t xml:space="preserve">The University is committed to providing an academic experience equivalent to all programmes as validated and advertised, but, as a result of the COVID-19 pandemic, some adjustments have </w:t>
      </w:r>
      <w:r>
        <w:rPr>
          <w:rFonts w:ascii="Arial" w:hAnsi="Arial" w:cs="Arial"/>
          <w:i/>
          <w:iCs/>
          <w:color w:val="222222"/>
          <w:sz w:val="22"/>
          <w:szCs w:val="22"/>
        </w:rPr>
        <w:lastRenderedPageBreak/>
        <w:t>been made to our normal approaches to teaching, learning and assessment in order to respond to government advice and to protect the health an</w:t>
      </w:r>
      <w:r w:rsidR="005C5962">
        <w:rPr>
          <w:rFonts w:ascii="Arial" w:hAnsi="Arial" w:cs="Arial"/>
          <w:i/>
          <w:iCs/>
          <w:color w:val="222222"/>
          <w:sz w:val="22"/>
          <w:szCs w:val="22"/>
        </w:rPr>
        <w:t>d safety of staff and students.</w:t>
      </w:r>
      <w:r>
        <w:rPr>
          <w:rFonts w:ascii="Arial" w:hAnsi="Arial" w:cs="Arial"/>
          <w:i/>
          <w:iCs/>
          <w:color w:val="222222"/>
          <w:sz w:val="22"/>
          <w:szCs w:val="22"/>
        </w:rPr>
        <w:t xml:space="preserve"> As a result of our responses, your programme may have been adjusted. To see the changes to your programme please </w:t>
      </w:r>
      <w:r>
        <w:rPr>
          <w:rFonts w:ascii="Arial" w:hAnsi="Arial" w:cs="Arial"/>
          <w:i/>
          <w:iCs/>
          <w:color w:val="0000FF"/>
          <w:sz w:val="22"/>
          <w:szCs w:val="22"/>
        </w:rPr>
        <w:t>follow the link</w:t>
      </w:r>
      <w:r>
        <w:rPr>
          <w:rFonts w:ascii="Arial" w:hAnsi="Arial" w:cs="Arial"/>
          <w:i/>
          <w:iCs/>
          <w:color w:val="222222"/>
          <w:sz w:val="22"/>
          <w:szCs w:val="22"/>
        </w:rPr>
        <w:t xml:space="preserve"> which will take you to the outlined changes detailed in a word document held on the Moodle Page. Changes to the module from the validated module descriptor have been approved through a robust quality assurance process.</w:t>
      </w:r>
    </w:p>
    <w:p w14:paraId="014171B1" w14:textId="77777777" w:rsidR="009717E7" w:rsidRDefault="009717E7" w:rsidP="004353B2">
      <w:pPr>
        <w:rPr>
          <w:rFonts w:cs="Arial"/>
          <w:szCs w:val="22"/>
        </w:rPr>
      </w:pPr>
    </w:p>
    <w:p w14:paraId="2B29524E" w14:textId="77777777" w:rsidR="004353B2" w:rsidRDefault="004353B2" w:rsidP="00C31F14">
      <w:pPr>
        <w:pStyle w:val="Headv2"/>
      </w:pPr>
      <w:r>
        <w:t>Core contents</w:t>
      </w:r>
    </w:p>
    <w:p w14:paraId="6B475080" w14:textId="77777777" w:rsidR="004353B2" w:rsidRDefault="004353B2" w:rsidP="004353B2">
      <w:pPr>
        <w:rPr>
          <w:rFonts w:cs="Arial"/>
          <w:szCs w:val="22"/>
        </w:rPr>
      </w:pPr>
    </w:p>
    <w:p w14:paraId="29E83A5C" w14:textId="77777777" w:rsidR="004353B2" w:rsidRDefault="004353B2" w:rsidP="004353B2">
      <w:pPr>
        <w:rPr>
          <w:rFonts w:cs="Arial"/>
          <w:b/>
          <w:szCs w:val="22"/>
        </w:rPr>
      </w:pPr>
      <w:r>
        <w:rPr>
          <w:rFonts w:cs="Arial"/>
          <w:b/>
          <w:szCs w:val="22"/>
        </w:rPr>
        <w:t>Welcome</w:t>
      </w:r>
    </w:p>
    <w:p w14:paraId="4D1398A3" w14:textId="77777777" w:rsidR="00F60D5C" w:rsidRDefault="00F60D5C" w:rsidP="00F60D5C">
      <w:pPr>
        <w:ind w:left="360"/>
        <w:rPr>
          <w:rFonts w:cs="Arial"/>
          <w:szCs w:val="22"/>
        </w:rPr>
      </w:pPr>
    </w:p>
    <w:p w14:paraId="03D38E6B" w14:textId="77777777" w:rsidR="004353B2" w:rsidRDefault="004353B2" w:rsidP="004353B2">
      <w:pPr>
        <w:numPr>
          <w:ilvl w:val="0"/>
          <w:numId w:val="7"/>
        </w:numPr>
        <w:ind w:left="360"/>
        <w:rPr>
          <w:rFonts w:cs="Arial"/>
          <w:szCs w:val="22"/>
        </w:rPr>
      </w:pPr>
      <w:r>
        <w:rPr>
          <w:rFonts w:cs="Arial"/>
          <w:szCs w:val="22"/>
        </w:rPr>
        <w:t xml:space="preserve">Introduction and general welcome to the programme, Faculty or partner, and University. </w:t>
      </w:r>
      <w:r w:rsidR="005141DF">
        <w:rPr>
          <w:rFonts w:cs="Arial"/>
          <w:color w:val="D10373"/>
          <w:szCs w:val="22"/>
        </w:rPr>
        <w:t>U</w:t>
      </w:r>
      <w:r w:rsidR="00777EA5" w:rsidRPr="00777EA5">
        <w:rPr>
          <w:rFonts w:cs="Arial"/>
          <w:color w:val="D10373"/>
          <w:szCs w:val="22"/>
        </w:rPr>
        <w:t>p to one page in length.</w:t>
      </w:r>
    </w:p>
    <w:p w14:paraId="660B533E" w14:textId="77777777" w:rsidR="000A3930" w:rsidRDefault="000A3930" w:rsidP="000A3930">
      <w:pPr>
        <w:ind w:left="360"/>
        <w:rPr>
          <w:rFonts w:cs="Arial"/>
          <w:szCs w:val="22"/>
        </w:rPr>
      </w:pPr>
    </w:p>
    <w:p w14:paraId="5B857073" w14:textId="236AFC8D" w:rsidR="004353B2" w:rsidRDefault="004353B2" w:rsidP="004353B2">
      <w:pPr>
        <w:numPr>
          <w:ilvl w:val="0"/>
          <w:numId w:val="7"/>
        </w:numPr>
        <w:ind w:left="360"/>
        <w:rPr>
          <w:rFonts w:cs="Arial"/>
          <w:szCs w:val="22"/>
        </w:rPr>
      </w:pPr>
      <w:r>
        <w:rPr>
          <w:rFonts w:cs="Arial"/>
          <w:szCs w:val="22"/>
        </w:rPr>
        <w:t xml:space="preserve">Introduction to the teaching team: names, contact details, research interests, and teaching/support responsibilities with respect </w:t>
      </w:r>
      <w:r w:rsidR="00FD1D1A">
        <w:rPr>
          <w:rFonts w:cs="Arial"/>
          <w:szCs w:val="22"/>
        </w:rPr>
        <w:t xml:space="preserve">to the programme. </w:t>
      </w:r>
      <w:r w:rsidRPr="00FD1D1A">
        <w:rPr>
          <w:rFonts w:cs="Arial"/>
          <w:color w:val="D10373"/>
          <w:szCs w:val="22"/>
        </w:rPr>
        <w:t>A short paragra</w:t>
      </w:r>
      <w:r w:rsidR="00FD1D1A" w:rsidRPr="00FD1D1A">
        <w:rPr>
          <w:rFonts w:cs="Arial"/>
          <w:color w:val="D10373"/>
          <w:szCs w:val="22"/>
        </w:rPr>
        <w:t>ph for each member of the team</w:t>
      </w:r>
      <w:r w:rsidR="00206D8D">
        <w:rPr>
          <w:rFonts w:cs="Arial"/>
          <w:color w:val="D10373"/>
          <w:szCs w:val="22"/>
        </w:rPr>
        <w:t xml:space="preserve">, or a link to where this information can be found on the School/Department website. </w:t>
      </w:r>
    </w:p>
    <w:p w14:paraId="2937E071" w14:textId="77777777" w:rsidR="004353B2" w:rsidRDefault="004353B2" w:rsidP="004353B2">
      <w:pPr>
        <w:rPr>
          <w:rFonts w:cs="Arial"/>
          <w:szCs w:val="22"/>
        </w:rPr>
      </w:pPr>
    </w:p>
    <w:p w14:paraId="5FAA21C5" w14:textId="77777777" w:rsidR="004353B2" w:rsidRDefault="004353B2" w:rsidP="004353B2">
      <w:pPr>
        <w:rPr>
          <w:rFonts w:cs="Arial"/>
          <w:b/>
          <w:szCs w:val="22"/>
        </w:rPr>
      </w:pPr>
      <w:r>
        <w:rPr>
          <w:rFonts w:cs="Arial"/>
          <w:b/>
          <w:szCs w:val="22"/>
        </w:rPr>
        <w:t xml:space="preserve">Curriculum </w:t>
      </w:r>
    </w:p>
    <w:p w14:paraId="1CDE70CA" w14:textId="77777777" w:rsidR="00F60D5C" w:rsidRDefault="00F60D5C" w:rsidP="00F60D5C">
      <w:pPr>
        <w:ind w:left="360"/>
        <w:rPr>
          <w:rFonts w:cs="Arial"/>
          <w:szCs w:val="22"/>
        </w:rPr>
      </w:pPr>
    </w:p>
    <w:p w14:paraId="1C99B047" w14:textId="7B1A1426" w:rsidR="004353B2" w:rsidRPr="00F60D5C" w:rsidRDefault="004353B2" w:rsidP="00F60D5C">
      <w:pPr>
        <w:numPr>
          <w:ilvl w:val="0"/>
          <w:numId w:val="8"/>
        </w:numPr>
        <w:ind w:left="360"/>
        <w:rPr>
          <w:rFonts w:cs="Arial"/>
          <w:szCs w:val="22"/>
        </w:rPr>
      </w:pPr>
      <w:r w:rsidRPr="00F60D5C">
        <w:rPr>
          <w:rFonts w:cs="Arial"/>
          <w:szCs w:val="22"/>
        </w:rPr>
        <w:t>Rationale, aims and outcomes of the programme and how they are met through the w</w:t>
      </w:r>
      <w:r w:rsidR="00FD1D1A">
        <w:rPr>
          <w:rFonts w:cs="Arial"/>
          <w:szCs w:val="22"/>
        </w:rPr>
        <w:t xml:space="preserve">ay the curriculum is designed. </w:t>
      </w:r>
      <w:r w:rsidRPr="00F60D5C">
        <w:rPr>
          <w:rFonts w:cs="Arial"/>
          <w:szCs w:val="22"/>
        </w:rPr>
        <w:t xml:space="preserve">A short statement of how the </w:t>
      </w:r>
      <w:r w:rsidR="00206D8D">
        <w:rPr>
          <w:rFonts w:cs="Arial"/>
          <w:szCs w:val="22"/>
        </w:rPr>
        <w:t>relevant Brookes</w:t>
      </w:r>
      <w:r w:rsidRPr="00F60D5C">
        <w:rPr>
          <w:rFonts w:cs="Arial"/>
          <w:szCs w:val="22"/>
        </w:rPr>
        <w:t xml:space="preserve"> Attributes are addressed </w:t>
      </w:r>
      <w:r w:rsidR="003E7FB0">
        <w:rPr>
          <w:rFonts w:cs="Arial"/>
          <w:szCs w:val="22"/>
        </w:rPr>
        <w:t xml:space="preserve">and developed </w:t>
      </w:r>
      <w:r w:rsidRPr="00F60D5C">
        <w:rPr>
          <w:rFonts w:cs="Arial"/>
          <w:szCs w:val="22"/>
        </w:rPr>
        <w:t xml:space="preserve">through the programme should be provided – also provide a map of how the modules address the programme learning outcomes. </w:t>
      </w:r>
      <w:r w:rsidR="003E7FB0">
        <w:rPr>
          <w:rFonts w:cs="Arial"/>
          <w:color w:val="D10373"/>
          <w:szCs w:val="22"/>
        </w:rPr>
        <w:t>Up to</w:t>
      </w:r>
      <w:r w:rsidRPr="00777EA5">
        <w:rPr>
          <w:rFonts w:cs="Arial"/>
          <w:color w:val="D10373"/>
          <w:szCs w:val="22"/>
        </w:rPr>
        <w:t xml:space="preserve"> one page for the aims and outcomes, and a page for the mapping</w:t>
      </w:r>
      <w:r w:rsidR="00206D8D">
        <w:rPr>
          <w:rFonts w:cs="Arial"/>
          <w:color w:val="D10373"/>
          <w:szCs w:val="22"/>
        </w:rPr>
        <w:t xml:space="preserve"> diagram</w:t>
      </w:r>
      <w:r w:rsidRPr="00777EA5">
        <w:rPr>
          <w:rFonts w:cs="Arial"/>
          <w:color w:val="D10373"/>
          <w:szCs w:val="22"/>
        </w:rPr>
        <w:t>.</w:t>
      </w:r>
    </w:p>
    <w:p w14:paraId="4F0C64CA" w14:textId="77777777" w:rsidR="004353B2" w:rsidRDefault="004353B2" w:rsidP="004353B2">
      <w:pPr>
        <w:ind w:left="360"/>
        <w:rPr>
          <w:rFonts w:cs="Arial"/>
          <w:szCs w:val="22"/>
        </w:rPr>
      </w:pPr>
    </w:p>
    <w:p w14:paraId="298380C9" w14:textId="6E5C48D3" w:rsidR="004353B2" w:rsidRPr="003E7FB0" w:rsidRDefault="004353B2" w:rsidP="004353B2">
      <w:pPr>
        <w:numPr>
          <w:ilvl w:val="0"/>
          <w:numId w:val="8"/>
        </w:numPr>
        <w:ind w:left="360"/>
        <w:rPr>
          <w:rFonts w:cs="Arial"/>
          <w:szCs w:val="22"/>
        </w:rPr>
      </w:pPr>
      <w:r>
        <w:rPr>
          <w:rFonts w:cs="Arial"/>
          <w:szCs w:val="22"/>
        </w:rPr>
        <w:t xml:space="preserve">Diagrammatic representation of the programme structure for all modes of study (e.g. full-time, part-time, sandwich, online learning, </w:t>
      </w:r>
      <w:proofErr w:type="spellStart"/>
      <w:r>
        <w:rPr>
          <w:rFonts w:cs="Arial"/>
          <w:szCs w:val="22"/>
        </w:rPr>
        <w:t>etc</w:t>
      </w:r>
      <w:proofErr w:type="spellEnd"/>
      <w:r>
        <w:rPr>
          <w:rFonts w:cs="Arial"/>
          <w:szCs w:val="22"/>
        </w:rPr>
        <w:t xml:space="preserve">), clearly indicating for each level the modules to </w:t>
      </w:r>
      <w:r w:rsidR="00777EA5">
        <w:rPr>
          <w:rFonts w:cs="Arial"/>
          <w:szCs w:val="22"/>
        </w:rPr>
        <w:t xml:space="preserve">be delivered in each semester. </w:t>
      </w:r>
      <w:r>
        <w:rPr>
          <w:rFonts w:cs="Arial"/>
          <w:szCs w:val="22"/>
        </w:rPr>
        <w:t xml:space="preserve">On the diagram include the module codes and titles, module status, and module credit value.  Indicate which modules must be studied in order to gain the target award, and the options available within the programme. </w:t>
      </w:r>
      <w:r w:rsidRPr="00777EA5">
        <w:rPr>
          <w:rFonts w:cs="Arial"/>
          <w:color w:val="D10373"/>
          <w:szCs w:val="22"/>
        </w:rPr>
        <w:t xml:space="preserve">Refer to </w:t>
      </w:r>
      <w:r w:rsidR="003E7FB0">
        <w:rPr>
          <w:rFonts w:cs="Arial"/>
          <w:color w:val="D10373"/>
          <w:szCs w:val="22"/>
        </w:rPr>
        <w:t>regulations</w:t>
      </w:r>
      <w:r w:rsidRPr="00777EA5">
        <w:rPr>
          <w:rFonts w:cs="Arial"/>
          <w:color w:val="D10373"/>
          <w:szCs w:val="22"/>
        </w:rPr>
        <w:t xml:space="preserve"> to ensure all award requirements are covered in the handbook.</w:t>
      </w:r>
    </w:p>
    <w:p w14:paraId="0C9E0FC0" w14:textId="77777777" w:rsidR="003E7FB0" w:rsidRDefault="003E7FB0" w:rsidP="003E7FB0">
      <w:pPr>
        <w:pStyle w:val="ListParagraph"/>
        <w:rPr>
          <w:rFonts w:cs="Arial"/>
          <w:szCs w:val="22"/>
        </w:rPr>
      </w:pPr>
    </w:p>
    <w:p w14:paraId="202067BD" w14:textId="14167BC9" w:rsidR="00AD7304" w:rsidRPr="00AD7304" w:rsidRDefault="00E66A2A" w:rsidP="00AD7304">
      <w:pPr>
        <w:numPr>
          <w:ilvl w:val="0"/>
          <w:numId w:val="8"/>
        </w:numPr>
        <w:ind w:left="360"/>
        <w:rPr>
          <w:rFonts w:cs="Arial"/>
          <w:szCs w:val="22"/>
        </w:rPr>
      </w:pPr>
      <w:r>
        <w:rPr>
          <w:rFonts w:cs="Arial"/>
          <w:szCs w:val="22"/>
        </w:rPr>
        <w:t>M</w:t>
      </w:r>
      <w:r w:rsidR="003E7FB0">
        <w:rPr>
          <w:rFonts w:cs="Arial"/>
          <w:szCs w:val="22"/>
        </w:rPr>
        <w:t>odule registration:</w:t>
      </w:r>
      <w:r w:rsidR="00AD7304">
        <w:rPr>
          <w:rFonts w:cs="Arial"/>
          <w:szCs w:val="22"/>
        </w:rPr>
        <w:t xml:space="preserve"> instructions regarding module choices can be found on the University website at </w:t>
      </w:r>
      <w:hyperlink r:id="rId10" w:history="1">
        <w:r w:rsidR="00AD7304">
          <w:rPr>
            <w:rStyle w:val="Hyperlink"/>
          </w:rPr>
          <w:t>https://www.brookes.ac.uk/students/your-studies/module-choices/</w:t>
        </w:r>
      </w:hyperlink>
      <w:r w:rsidR="00AD7304">
        <w:rPr>
          <w:rFonts w:cs="Arial"/>
          <w:szCs w:val="22"/>
        </w:rPr>
        <w:t xml:space="preserve">  </w:t>
      </w:r>
      <w:proofErr w:type="gramStart"/>
      <w:r w:rsidR="00AD7304" w:rsidRPr="00AD7304">
        <w:rPr>
          <w:rFonts w:cs="Arial"/>
          <w:szCs w:val="22"/>
        </w:rPr>
        <w:t>A</w:t>
      </w:r>
      <w:r w:rsidR="003E7FB0" w:rsidRPr="00AD7304">
        <w:rPr>
          <w:rFonts w:cs="Arial"/>
          <w:szCs w:val="22"/>
        </w:rPr>
        <w:t>dd</w:t>
      </w:r>
      <w:proofErr w:type="gramEnd"/>
      <w:r w:rsidR="003E7FB0" w:rsidRPr="00AD7304">
        <w:rPr>
          <w:rFonts w:cs="Arial"/>
          <w:szCs w:val="22"/>
        </w:rPr>
        <w:t xml:space="preserve"> any detailed instructions </w:t>
      </w:r>
      <w:r w:rsidR="00AD7304">
        <w:rPr>
          <w:rFonts w:cs="Arial"/>
          <w:szCs w:val="22"/>
        </w:rPr>
        <w:t xml:space="preserve">that are </w:t>
      </w:r>
      <w:r w:rsidR="003E7FB0" w:rsidRPr="00AD7304">
        <w:rPr>
          <w:rFonts w:cs="Arial"/>
          <w:szCs w:val="22"/>
        </w:rPr>
        <w:t>specific to students on this programme</w:t>
      </w:r>
      <w:r w:rsidR="00AD7304">
        <w:rPr>
          <w:rFonts w:cs="Arial"/>
          <w:szCs w:val="22"/>
        </w:rPr>
        <w:t>.</w:t>
      </w:r>
    </w:p>
    <w:p w14:paraId="07902605" w14:textId="77777777" w:rsidR="00AD7304" w:rsidRDefault="00AD7304" w:rsidP="004353B2">
      <w:pPr>
        <w:ind w:left="360"/>
        <w:rPr>
          <w:rFonts w:cs="Arial"/>
          <w:szCs w:val="22"/>
        </w:rPr>
      </w:pPr>
    </w:p>
    <w:p w14:paraId="066AF7D7" w14:textId="005AFD61" w:rsidR="00FD1D1A" w:rsidRDefault="004353B2" w:rsidP="004353B2">
      <w:pPr>
        <w:numPr>
          <w:ilvl w:val="0"/>
          <w:numId w:val="8"/>
        </w:numPr>
        <w:ind w:left="360"/>
        <w:rPr>
          <w:rFonts w:cs="Arial"/>
          <w:szCs w:val="22"/>
        </w:rPr>
      </w:pPr>
      <w:r>
        <w:rPr>
          <w:rFonts w:cs="Arial"/>
          <w:szCs w:val="22"/>
        </w:rPr>
        <w:t>Module content: If full details of modules are</w:t>
      </w:r>
      <w:r w:rsidR="0088717C">
        <w:rPr>
          <w:rFonts w:cs="Arial"/>
          <w:szCs w:val="22"/>
        </w:rPr>
        <w:t xml:space="preserve"> not</w:t>
      </w:r>
      <w:r>
        <w:rPr>
          <w:rFonts w:cs="Arial"/>
          <w:szCs w:val="22"/>
        </w:rPr>
        <w:t xml:space="preserve"> provided in module handbooks, provide </w:t>
      </w:r>
      <w:r w:rsidR="00E66A2A">
        <w:rPr>
          <w:rFonts w:cs="Arial"/>
          <w:szCs w:val="22"/>
        </w:rPr>
        <w:t xml:space="preserve">brief </w:t>
      </w:r>
      <w:r>
        <w:rPr>
          <w:rFonts w:cs="Arial"/>
          <w:szCs w:val="22"/>
        </w:rPr>
        <w:t xml:space="preserve">summaries </w:t>
      </w:r>
      <w:r w:rsidR="00FD1D1A">
        <w:rPr>
          <w:rFonts w:cs="Arial"/>
          <w:szCs w:val="22"/>
        </w:rPr>
        <w:t xml:space="preserve">of the content of each module. </w:t>
      </w:r>
      <w:r>
        <w:rPr>
          <w:rFonts w:cs="Arial"/>
          <w:szCs w:val="22"/>
        </w:rPr>
        <w:t xml:space="preserve">Summaries should be a short paragraph based on the module aims as set out in the module description. List the modules level by level. </w:t>
      </w:r>
      <w:r>
        <w:rPr>
          <w:rFonts w:cs="Arial"/>
          <w:szCs w:val="22"/>
        </w:rPr>
        <w:br/>
      </w:r>
    </w:p>
    <w:p w14:paraId="50B2B86A" w14:textId="77777777" w:rsidR="004353B2" w:rsidRDefault="004353B2" w:rsidP="005A0D24">
      <w:pPr>
        <w:ind w:left="360"/>
        <w:rPr>
          <w:rFonts w:cs="Arial"/>
          <w:szCs w:val="22"/>
        </w:rPr>
      </w:pPr>
      <w:r w:rsidRPr="005141DF">
        <w:rPr>
          <w:rFonts w:cs="Arial"/>
          <w:i/>
          <w:szCs w:val="22"/>
        </w:rPr>
        <w:t>Note</w:t>
      </w:r>
      <w:r w:rsidRPr="005141DF">
        <w:rPr>
          <w:rFonts w:cs="Arial"/>
          <w:szCs w:val="22"/>
        </w:rPr>
        <w:t>:</w:t>
      </w:r>
      <w:r>
        <w:rPr>
          <w:rFonts w:cs="Arial"/>
          <w:szCs w:val="22"/>
        </w:rPr>
        <w:t xml:space="preserve"> module handbooks should be designed around the information contained in the approved module description.</w:t>
      </w:r>
      <w:r w:rsidR="005A0D24">
        <w:rPr>
          <w:rFonts w:cs="Arial"/>
          <w:szCs w:val="22"/>
        </w:rPr>
        <w:t xml:space="preserve"> </w:t>
      </w:r>
      <w:r w:rsidRPr="00777EA5">
        <w:rPr>
          <w:rFonts w:cs="Arial"/>
          <w:color w:val="D10373"/>
          <w:szCs w:val="22"/>
        </w:rPr>
        <w:t>If the full details about the modules are not to be contained in separate module handbooks, then the full module descriptions should be included in the programme handbook.</w:t>
      </w:r>
      <w:r w:rsidRPr="00777EA5">
        <w:rPr>
          <w:rFonts w:cs="Arial"/>
          <w:i/>
          <w:color w:val="FF0000"/>
          <w:szCs w:val="22"/>
        </w:rPr>
        <w:br/>
      </w:r>
    </w:p>
    <w:p w14:paraId="73599505" w14:textId="77777777" w:rsidR="005141DF" w:rsidRPr="005141DF" w:rsidRDefault="004353B2" w:rsidP="004353B2">
      <w:pPr>
        <w:numPr>
          <w:ilvl w:val="0"/>
          <w:numId w:val="8"/>
        </w:numPr>
        <w:ind w:left="360"/>
        <w:rPr>
          <w:rFonts w:cs="Arial"/>
          <w:i/>
          <w:szCs w:val="22"/>
        </w:rPr>
      </w:pPr>
      <w:r w:rsidRPr="005141DF">
        <w:rPr>
          <w:rFonts w:cs="Arial"/>
          <w:szCs w:val="22"/>
        </w:rPr>
        <w:t>Professional body information, if applicable</w:t>
      </w:r>
      <w:r w:rsidR="005141DF" w:rsidRPr="005141DF">
        <w:rPr>
          <w:rFonts w:cs="Arial"/>
          <w:szCs w:val="22"/>
        </w:rPr>
        <w:t xml:space="preserve">. </w:t>
      </w:r>
    </w:p>
    <w:p w14:paraId="4EB6CAD7" w14:textId="6C9BA28C" w:rsidR="004353B2" w:rsidRPr="005141DF" w:rsidRDefault="004353B2" w:rsidP="005141DF">
      <w:pPr>
        <w:ind w:left="360"/>
        <w:rPr>
          <w:rFonts w:cs="Arial"/>
          <w:i/>
          <w:szCs w:val="22"/>
        </w:rPr>
      </w:pPr>
      <w:r w:rsidRPr="005141DF">
        <w:rPr>
          <w:rFonts w:cs="Arial"/>
          <w:szCs w:val="22"/>
        </w:rPr>
        <w:t xml:space="preserve">For programmes with professional accreditation, include the following information </w:t>
      </w:r>
      <w:r w:rsidR="00FD1D1A" w:rsidRPr="005141DF">
        <w:rPr>
          <w:rFonts w:cs="Arial"/>
          <w:color w:val="D10373"/>
          <w:szCs w:val="22"/>
        </w:rPr>
        <w:t>(</w:t>
      </w:r>
      <w:r w:rsidR="00F05515">
        <w:rPr>
          <w:rFonts w:cs="Arial"/>
          <w:color w:val="D10373"/>
          <w:szCs w:val="22"/>
        </w:rPr>
        <w:t>approx.</w:t>
      </w:r>
      <w:r w:rsidR="00FD1D1A" w:rsidRPr="005141DF">
        <w:rPr>
          <w:rFonts w:cs="Arial"/>
          <w:color w:val="D10373"/>
          <w:szCs w:val="22"/>
        </w:rPr>
        <w:t xml:space="preserve"> ½ </w:t>
      </w:r>
      <w:proofErr w:type="gramStart"/>
      <w:r w:rsidR="00FD1D1A" w:rsidRPr="005141DF">
        <w:rPr>
          <w:rFonts w:cs="Arial"/>
          <w:color w:val="D10373"/>
          <w:szCs w:val="22"/>
        </w:rPr>
        <w:t>page</w:t>
      </w:r>
      <w:proofErr w:type="gramEnd"/>
      <w:r w:rsidR="00FD1D1A" w:rsidRPr="005141DF">
        <w:rPr>
          <w:rFonts w:cs="Arial"/>
          <w:color w:val="D10373"/>
          <w:szCs w:val="22"/>
        </w:rPr>
        <w:t>)</w:t>
      </w:r>
      <w:r w:rsidR="000A3930" w:rsidRPr="005141DF">
        <w:rPr>
          <w:rFonts w:cs="Arial"/>
          <w:color w:val="002060"/>
          <w:szCs w:val="22"/>
        </w:rPr>
        <w:t>:</w:t>
      </w:r>
    </w:p>
    <w:p w14:paraId="559074D8" w14:textId="77777777" w:rsidR="00FD1D1A" w:rsidRDefault="00FD1D1A" w:rsidP="004353B2">
      <w:pPr>
        <w:ind w:left="360"/>
        <w:rPr>
          <w:rFonts w:cs="Arial"/>
          <w:szCs w:val="22"/>
        </w:rPr>
      </w:pPr>
    </w:p>
    <w:p w14:paraId="21DF5B09" w14:textId="77777777" w:rsidR="004353B2" w:rsidRPr="000A3930" w:rsidRDefault="004353B2" w:rsidP="000A3930">
      <w:pPr>
        <w:pStyle w:val="ListParagraph"/>
        <w:numPr>
          <w:ilvl w:val="0"/>
          <w:numId w:val="13"/>
        </w:numPr>
        <w:rPr>
          <w:rFonts w:cs="Arial"/>
          <w:szCs w:val="22"/>
        </w:rPr>
      </w:pPr>
      <w:r w:rsidRPr="000A3930">
        <w:rPr>
          <w:rFonts w:cs="Arial"/>
          <w:szCs w:val="22"/>
        </w:rPr>
        <w:t xml:space="preserve">Name of professional body; </w:t>
      </w:r>
    </w:p>
    <w:p w14:paraId="10B43693" w14:textId="7D72B742" w:rsidR="004353B2" w:rsidRPr="000A3930" w:rsidRDefault="004353B2" w:rsidP="000A3930">
      <w:pPr>
        <w:pStyle w:val="ListParagraph"/>
        <w:numPr>
          <w:ilvl w:val="0"/>
          <w:numId w:val="13"/>
        </w:numPr>
        <w:rPr>
          <w:rFonts w:cs="Arial"/>
          <w:szCs w:val="22"/>
        </w:rPr>
      </w:pPr>
      <w:r w:rsidRPr="000A3930">
        <w:rPr>
          <w:rFonts w:cs="Arial"/>
          <w:szCs w:val="22"/>
        </w:rPr>
        <w:t>Nature of accreditation/recognition;</w:t>
      </w:r>
      <w:r w:rsidRPr="000A3930">
        <w:rPr>
          <w:rFonts w:cs="Arial"/>
          <w:szCs w:val="22"/>
        </w:rPr>
        <w:br/>
        <w:t xml:space="preserve">Requirements for gaining accreditation (e.g. specific modules must be studied, </w:t>
      </w:r>
      <w:proofErr w:type="spellStart"/>
      <w:r w:rsidRPr="000A3930">
        <w:rPr>
          <w:rFonts w:cs="Arial"/>
          <w:szCs w:val="22"/>
        </w:rPr>
        <w:t>et</w:t>
      </w:r>
      <w:r w:rsidR="00E66A2A">
        <w:rPr>
          <w:rFonts w:cs="Arial"/>
          <w:szCs w:val="22"/>
        </w:rPr>
        <w:t>c</w:t>
      </w:r>
      <w:proofErr w:type="spellEnd"/>
      <w:r w:rsidRPr="000A3930">
        <w:rPr>
          <w:rFonts w:cs="Arial"/>
          <w:szCs w:val="22"/>
        </w:rPr>
        <w:t>);</w:t>
      </w:r>
    </w:p>
    <w:p w14:paraId="6C9E51C2" w14:textId="77777777" w:rsidR="004353B2" w:rsidRPr="000A3930" w:rsidRDefault="004353B2" w:rsidP="000A3930">
      <w:pPr>
        <w:pStyle w:val="ListParagraph"/>
        <w:numPr>
          <w:ilvl w:val="0"/>
          <w:numId w:val="13"/>
        </w:numPr>
        <w:rPr>
          <w:rFonts w:cs="Arial"/>
          <w:szCs w:val="22"/>
        </w:rPr>
      </w:pPr>
      <w:r w:rsidRPr="000A3930">
        <w:rPr>
          <w:rFonts w:cs="Arial"/>
          <w:szCs w:val="22"/>
        </w:rPr>
        <w:t xml:space="preserve">Levels of membership for students/graduates, </w:t>
      </w:r>
      <w:proofErr w:type="spellStart"/>
      <w:r w:rsidRPr="000A3930">
        <w:rPr>
          <w:rFonts w:cs="Arial"/>
          <w:szCs w:val="22"/>
        </w:rPr>
        <w:t>etc</w:t>
      </w:r>
      <w:proofErr w:type="spellEnd"/>
      <w:r w:rsidRPr="000A3930">
        <w:rPr>
          <w:rFonts w:cs="Arial"/>
          <w:szCs w:val="22"/>
        </w:rPr>
        <w:t>;</w:t>
      </w:r>
    </w:p>
    <w:p w14:paraId="10B36DB3" w14:textId="08AA0446" w:rsidR="004353B2" w:rsidRPr="000A3930" w:rsidRDefault="004353B2" w:rsidP="000A3930">
      <w:pPr>
        <w:pStyle w:val="ListParagraph"/>
        <w:numPr>
          <w:ilvl w:val="0"/>
          <w:numId w:val="13"/>
        </w:numPr>
        <w:rPr>
          <w:rFonts w:cs="Arial"/>
          <w:szCs w:val="22"/>
        </w:rPr>
      </w:pPr>
      <w:r w:rsidRPr="000A3930">
        <w:rPr>
          <w:rFonts w:cs="Arial"/>
          <w:szCs w:val="22"/>
        </w:rPr>
        <w:t xml:space="preserve">Location of further information which may be available from the PSRB (i.e. </w:t>
      </w:r>
      <w:r w:rsidR="00E66A2A">
        <w:rPr>
          <w:rFonts w:cs="Arial"/>
          <w:szCs w:val="22"/>
        </w:rPr>
        <w:t>link to</w:t>
      </w:r>
      <w:r w:rsidRPr="000A3930">
        <w:rPr>
          <w:rFonts w:cs="Arial"/>
          <w:szCs w:val="22"/>
        </w:rPr>
        <w:t xml:space="preserve"> their website).</w:t>
      </w:r>
    </w:p>
    <w:p w14:paraId="4E8426FF" w14:textId="77777777" w:rsidR="004353B2" w:rsidRDefault="004353B2" w:rsidP="004353B2">
      <w:pPr>
        <w:rPr>
          <w:rFonts w:cs="Arial"/>
          <w:szCs w:val="22"/>
        </w:rPr>
      </w:pPr>
    </w:p>
    <w:p w14:paraId="3ED8DC9A" w14:textId="77777777" w:rsidR="004353B2" w:rsidRDefault="004353B2" w:rsidP="004353B2">
      <w:pPr>
        <w:rPr>
          <w:rFonts w:cs="Arial"/>
          <w:b/>
          <w:szCs w:val="22"/>
        </w:rPr>
      </w:pPr>
      <w:r>
        <w:rPr>
          <w:rFonts w:cs="Arial"/>
          <w:b/>
          <w:szCs w:val="22"/>
        </w:rPr>
        <w:t>Learning, teaching and assessment</w:t>
      </w:r>
    </w:p>
    <w:p w14:paraId="2093E33A" w14:textId="77777777" w:rsidR="00A4481F" w:rsidRDefault="00A4481F" w:rsidP="00A4481F">
      <w:pPr>
        <w:ind w:left="360"/>
        <w:rPr>
          <w:rFonts w:cs="Arial"/>
          <w:szCs w:val="22"/>
        </w:rPr>
      </w:pPr>
    </w:p>
    <w:p w14:paraId="1BA64BF1" w14:textId="6CD64C64" w:rsidR="00267158" w:rsidRDefault="004353B2" w:rsidP="00267158">
      <w:pPr>
        <w:numPr>
          <w:ilvl w:val="0"/>
          <w:numId w:val="9"/>
        </w:numPr>
        <w:ind w:left="360"/>
        <w:rPr>
          <w:rFonts w:cs="Arial"/>
          <w:szCs w:val="22"/>
        </w:rPr>
      </w:pPr>
      <w:r>
        <w:rPr>
          <w:rFonts w:cs="Arial"/>
          <w:szCs w:val="22"/>
        </w:rPr>
        <w:t>Learning, teaching and assessment strategy, including expectations about modes of learning within higher education (especially important for provision delivered overseas, where educational culture may be different), and progression (in terms of increasing intellectual deman</w:t>
      </w:r>
      <w:r w:rsidR="00A4481F">
        <w:rPr>
          <w:rFonts w:cs="Arial"/>
          <w:szCs w:val="22"/>
        </w:rPr>
        <w:t>d) through the programme.</w:t>
      </w:r>
      <w:r>
        <w:rPr>
          <w:rFonts w:cs="Arial"/>
          <w:szCs w:val="22"/>
        </w:rPr>
        <w:t xml:space="preserve"> A </w:t>
      </w:r>
      <w:r w:rsidR="00267158">
        <w:rPr>
          <w:rFonts w:cs="Arial"/>
          <w:szCs w:val="22"/>
        </w:rPr>
        <w:t xml:space="preserve">brief </w:t>
      </w:r>
      <w:r>
        <w:rPr>
          <w:rFonts w:cs="Arial"/>
          <w:szCs w:val="22"/>
        </w:rPr>
        <w:t xml:space="preserve">statement of how the teaching and learning strategy helps to develop the </w:t>
      </w:r>
      <w:r w:rsidR="00267158">
        <w:rPr>
          <w:rFonts w:cs="Arial"/>
          <w:szCs w:val="22"/>
        </w:rPr>
        <w:t>Brookes</w:t>
      </w:r>
      <w:r>
        <w:rPr>
          <w:rFonts w:cs="Arial"/>
          <w:szCs w:val="22"/>
        </w:rPr>
        <w:t xml:space="preserve"> Attributes should also be provided.</w:t>
      </w:r>
      <w:r w:rsidR="00A4481F">
        <w:rPr>
          <w:rFonts w:cs="Arial"/>
          <w:szCs w:val="22"/>
        </w:rPr>
        <w:t xml:space="preserve"> </w:t>
      </w:r>
      <w:r w:rsidR="00A4481F">
        <w:rPr>
          <w:rFonts w:cs="Arial"/>
          <w:szCs w:val="22"/>
        </w:rPr>
        <w:br/>
      </w:r>
      <w:r>
        <w:rPr>
          <w:rFonts w:cs="Arial"/>
          <w:szCs w:val="22"/>
        </w:rPr>
        <w:br/>
      </w:r>
      <w:r w:rsidR="00267158">
        <w:rPr>
          <w:rFonts w:cs="Arial"/>
          <w:szCs w:val="22"/>
        </w:rPr>
        <w:t>Explain</w:t>
      </w:r>
      <w:r>
        <w:rPr>
          <w:rFonts w:cs="Arial"/>
          <w:szCs w:val="22"/>
        </w:rPr>
        <w:t xml:space="preserve"> how the approach to assessment across the programme relates to the </w:t>
      </w:r>
      <w:r w:rsidR="00267158">
        <w:rPr>
          <w:rFonts w:cs="Arial"/>
          <w:szCs w:val="22"/>
        </w:rPr>
        <w:t xml:space="preserve">Assessment &amp; Feedback Policy </w:t>
      </w:r>
      <w:r w:rsidR="00267158" w:rsidRPr="009717E7">
        <w:rPr>
          <w:rFonts w:cs="Arial"/>
          <w:szCs w:val="22"/>
        </w:rPr>
        <w:t>(approved by Academic Board on 22</w:t>
      </w:r>
      <w:r w:rsidR="00267158" w:rsidRPr="009717E7">
        <w:rPr>
          <w:rFonts w:cs="Arial"/>
          <w:szCs w:val="22"/>
          <w:vertAlign w:val="superscript"/>
        </w:rPr>
        <w:t>nd</w:t>
      </w:r>
      <w:r w:rsidR="00267158" w:rsidRPr="009717E7">
        <w:rPr>
          <w:rFonts w:cs="Arial"/>
          <w:szCs w:val="22"/>
        </w:rPr>
        <w:t xml:space="preserve"> April 2020 – </w:t>
      </w:r>
      <w:r w:rsidR="009717E7">
        <w:rPr>
          <w:rFonts w:cs="Arial"/>
          <w:szCs w:val="22"/>
        </w:rPr>
        <w:t>published in the academic policies contained within the Regulations</w:t>
      </w:r>
      <w:proofErr w:type="gramStart"/>
      <w:r w:rsidR="00267158" w:rsidRPr="009717E7">
        <w:rPr>
          <w:rFonts w:cs="Arial"/>
          <w:szCs w:val="22"/>
        </w:rPr>
        <w:t>)</w:t>
      </w:r>
      <w:proofErr w:type="gramEnd"/>
      <w:r w:rsidR="00267158">
        <w:rPr>
          <w:rFonts w:cs="Arial"/>
          <w:szCs w:val="22"/>
        </w:rPr>
        <w:br/>
      </w:r>
      <w:r w:rsidR="00267158">
        <w:rPr>
          <w:rFonts w:cs="Arial"/>
          <w:szCs w:val="22"/>
        </w:rPr>
        <w:br/>
      </w:r>
      <w:r w:rsidR="00267158">
        <w:rPr>
          <w:rFonts w:cs="Arial"/>
          <w:color w:val="D10373"/>
          <w:szCs w:val="22"/>
        </w:rPr>
        <w:t>U</w:t>
      </w:r>
      <w:r w:rsidR="00267158" w:rsidRPr="00566B7D">
        <w:rPr>
          <w:rFonts w:cs="Arial"/>
          <w:color w:val="D10373"/>
          <w:szCs w:val="22"/>
        </w:rPr>
        <w:t>p to one page.</w:t>
      </w:r>
    </w:p>
    <w:p w14:paraId="55BC1A4A" w14:textId="77777777" w:rsidR="00267158" w:rsidRDefault="00267158" w:rsidP="00267158">
      <w:pPr>
        <w:ind w:left="360"/>
        <w:rPr>
          <w:rFonts w:cs="Arial"/>
          <w:szCs w:val="22"/>
        </w:rPr>
      </w:pPr>
    </w:p>
    <w:p w14:paraId="076FFE14" w14:textId="15CA9871" w:rsidR="004353B2" w:rsidRDefault="004353B2" w:rsidP="004353B2">
      <w:pPr>
        <w:numPr>
          <w:ilvl w:val="0"/>
          <w:numId w:val="9"/>
        </w:numPr>
        <w:ind w:left="360"/>
        <w:rPr>
          <w:rFonts w:cs="Arial"/>
          <w:szCs w:val="22"/>
        </w:rPr>
      </w:pPr>
      <w:r>
        <w:rPr>
          <w:rFonts w:cs="Arial"/>
          <w:szCs w:val="22"/>
        </w:rPr>
        <w:t xml:space="preserve">Information about the use of </w:t>
      </w:r>
      <w:r w:rsidR="00267158">
        <w:rPr>
          <w:rFonts w:cs="Arial"/>
          <w:szCs w:val="22"/>
        </w:rPr>
        <w:t>Moodle (or o</w:t>
      </w:r>
      <w:r>
        <w:rPr>
          <w:rFonts w:cs="Arial"/>
          <w:szCs w:val="22"/>
        </w:rPr>
        <w:t>the</w:t>
      </w:r>
      <w:r w:rsidR="00267158">
        <w:rPr>
          <w:rFonts w:cs="Arial"/>
          <w:szCs w:val="22"/>
        </w:rPr>
        <w:t>r</w:t>
      </w:r>
      <w:r>
        <w:rPr>
          <w:rFonts w:cs="Arial"/>
          <w:szCs w:val="22"/>
        </w:rPr>
        <w:t xml:space="preserve"> VLE</w:t>
      </w:r>
      <w:r w:rsidR="00267158">
        <w:rPr>
          <w:rFonts w:cs="Arial"/>
          <w:szCs w:val="22"/>
        </w:rPr>
        <w:t xml:space="preserve"> used by partner)</w:t>
      </w:r>
      <w:r>
        <w:rPr>
          <w:rFonts w:cs="Arial"/>
          <w:szCs w:val="22"/>
        </w:rPr>
        <w:t xml:space="preserve"> on the programme – and how to </w:t>
      </w:r>
      <w:r w:rsidR="00267158">
        <w:rPr>
          <w:rFonts w:cs="Arial"/>
          <w:szCs w:val="22"/>
        </w:rPr>
        <w:t>engage with</w:t>
      </w:r>
      <w:r>
        <w:rPr>
          <w:rFonts w:cs="Arial"/>
          <w:szCs w:val="22"/>
        </w:rPr>
        <w:t xml:space="preserve"> it </w:t>
      </w:r>
      <w:r w:rsidRPr="00566B7D">
        <w:rPr>
          <w:rFonts w:cs="Arial"/>
          <w:szCs w:val="22"/>
        </w:rPr>
        <w:t>(refer to separate guide, if applicable</w:t>
      </w:r>
      <w:r w:rsidR="005141DF">
        <w:rPr>
          <w:rFonts w:cs="Arial"/>
          <w:szCs w:val="22"/>
        </w:rPr>
        <w:t xml:space="preserve">). </w:t>
      </w:r>
      <w:r>
        <w:rPr>
          <w:rFonts w:cs="Arial"/>
          <w:szCs w:val="22"/>
        </w:rPr>
        <w:t xml:space="preserve">Use of University email. </w:t>
      </w:r>
      <w:r w:rsidR="005141DF">
        <w:rPr>
          <w:rFonts w:cs="Arial"/>
          <w:color w:val="D10373"/>
          <w:szCs w:val="22"/>
        </w:rPr>
        <w:t>U</w:t>
      </w:r>
      <w:r w:rsidRPr="00566B7D">
        <w:rPr>
          <w:rFonts w:cs="Arial"/>
          <w:color w:val="D10373"/>
          <w:szCs w:val="22"/>
        </w:rPr>
        <w:t>p to one page.</w:t>
      </w:r>
    </w:p>
    <w:p w14:paraId="6E72FB49" w14:textId="77777777" w:rsidR="004353B2" w:rsidRDefault="004353B2" w:rsidP="004353B2">
      <w:pPr>
        <w:ind w:left="360"/>
        <w:rPr>
          <w:rFonts w:cs="Arial"/>
          <w:szCs w:val="22"/>
        </w:rPr>
      </w:pPr>
    </w:p>
    <w:p w14:paraId="4C1F1E4C" w14:textId="77777777" w:rsidR="004353B2" w:rsidRDefault="004353B2" w:rsidP="004353B2">
      <w:pPr>
        <w:numPr>
          <w:ilvl w:val="0"/>
          <w:numId w:val="9"/>
        </w:numPr>
        <w:ind w:left="360"/>
        <w:rPr>
          <w:rFonts w:cs="Arial"/>
          <w:szCs w:val="22"/>
        </w:rPr>
      </w:pPr>
      <w:r>
        <w:rPr>
          <w:rFonts w:cs="Arial"/>
          <w:szCs w:val="22"/>
        </w:rPr>
        <w:t xml:space="preserve">Work placement arrangements, </w:t>
      </w:r>
      <w:r w:rsidRPr="0029458A">
        <w:rPr>
          <w:rFonts w:cs="Arial"/>
          <w:szCs w:val="22"/>
        </w:rPr>
        <w:t>if applicable</w:t>
      </w:r>
      <w:r w:rsidR="000C6CB4">
        <w:rPr>
          <w:rFonts w:cs="Arial"/>
          <w:szCs w:val="22"/>
        </w:rPr>
        <w:t>.</w:t>
      </w:r>
      <w:r w:rsidR="005141DF">
        <w:rPr>
          <w:rFonts w:cs="Arial"/>
          <w:szCs w:val="22"/>
        </w:rPr>
        <w:br/>
      </w:r>
      <w:r>
        <w:rPr>
          <w:rFonts w:cs="Arial"/>
          <w:szCs w:val="22"/>
        </w:rPr>
        <w:br/>
        <w:t xml:space="preserve">If the programme has a work placement element, indicate its location within the programme and whether it attracts additional credit. </w:t>
      </w:r>
      <w:r w:rsidRPr="000C6CB4">
        <w:rPr>
          <w:rFonts w:cs="Arial"/>
          <w:color w:val="D10373"/>
          <w:szCs w:val="22"/>
        </w:rPr>
        <w:t>If full details are not provided in a separate module handbook, provide information about the processes for identification, supervision and assessment of the placement in the programme handbook.</w:t>
      </w:r>
    </w:p>
    <w:p w14:paraId="60DA3056" w14:textId="77777777" w:rsidR="004353B2" w:rsidRDefault="004353B2" w:rsidP="004353B2">
      <w:pPr>
        <w:rPr>
          <w:rFonts w:cs="Arial"/>
          <w:szCs w:val="22"/>
        </w:rPr>
      </w:pPr>
    </w:p>
    <w:p w14:paraId="2D7D2E35" w14:textId="067399F8" w:rsidR="00230C69" w:rsidRDefault="004353B2" w:rsidP="00230C69">
      <w:pPr>
        <w:numPr>
          <w:ilvl w:val="0"/>
          <w:numId w:val="9"/>
        </w:numPr>
        <w:ind w:left="360"/>
        <w:rPr>
          <w:rFonts w:cs="Arial"/>
          <w:szCs w:val="22"/>
        </w:rPr>
      </w:pPr>
      <w:r>
        <w:rPr>
          <w:rFonts w:cs="Arial"/>
          <w:szCs w:val="22"/>
        </w:rPr>
        <w:t xml:space="preserve">Programme calendar – timetable and key dates e.g. for handing in assignments, getting feedback, examination committee meetings, etc. </w:t>
      </w:r>
    </w:p>
    <w:p w14:paraId="36626E5D" w14:textId="77777777" w:rsidR="00230C69" w:rsidRDefault="00230C69" w:rsidP="00230C69">
      <w:pPr>
        <w:pStyle w:val="ListParagraph"/>
        <w:rPr>
          <w:rFonts w:cs="Arial"/>
          <w:szCs w:val="22"/>
        </w:rPr>
      </w:pPr>
    </w:p>
    <w:p w14:paraId="7930A7B8" w14:textId="75554D5F" w:rsidR="004353B2" w:rsidRPr="00230C69" w:rsidRDefault="004353B2" w:rsidP="00230C69">
      <w:pPr>
        <w:numPr>
          <w:ilvl w:val="0"/>
          <w:numId w:val="9"/>
        </w:numPr>
        <w:ind w:left="360"/>
        <w:rPr>
          <w:rFonts w:cs="Arial"/>
          <w:szCs w:val="22"/>
        </w:rPr>
      </w:pPr>
      <w:r w:rsidRPr="00230C69">
        <w:rPr>
          <w:rFonts w:cs="Arial"/>
          <w:szCs w:val="22"/>
        </w:rPr>
        <w:t xml:space="preserve">Assessment regulations – this section should </w:t>
      </w:r>
      <w:r w:rsidR="00267158">
        <w:rPr>
          <w:rFonts w:cs="Arial"/>
          <w:szCs w:val="22"/>
        </w:rPr>
        <w:t xml:space="preserve">refer to the relevant University regulations </w:t>
      </w:r>
      <w:hyperlink r:id="rId11" w:history="1">
        <w:r w:rsidR="009717E7">
          <w:rPr>
            <w:rStyle w:val="Hyperlink"/>
          </w:rPr>
          <w:t>https://www.brookes.ac.uk/regulations/</w:t>
        </w:r>
      </w:hyperlink>
      <w:r w:rsidR="009717E7">
        <w:t xml:space="preserve"> </w:t>
      </w:r>
      <w:r w:rsidR="00267158">
        <w:rPr>
          <w:rFonts w:cs="Arial"/>
          <w:szCs w:val="22"/>
        </w:rPr>
        <w:t>Specific requirements that apply to the programme should also be included here (and must have been granted formal approval through the relevant QA process). Provide information about how the University’s grading, award classification and GPA system applies to the programme</w:t>
      </w:r>
      <w:r w:rsidR="009717E7">
        <w:rPr>
          <w:rFonts w:cs="Arial"/>
          <w:szCs w:val="22"/>
        </w:rPr>
        <w:t>.</w:t>
      </w:r>
      <w:r w:rsidR="00267158">
        <w:rPr>
          <w:rFonts w:cs="Arial"/>
          <w:szCs w:val="22"/>
        </w:rPr>
        <w:t xml:space="preserve"> </w:t>
      </w:r>
    </w:p>
    <w:p w14:paraId="5A9F380D" w14:textId="77777777" w:rsidR="004353B2" w:rsidRDefault="004353B2" w:rsidP="004353B2">
      <w:pPr>
        <w:rPr>
          <w:rFonts w:cs="Arial"/>
          <w:szCs w:val="22"/>
        </w:rPr>
      </w:pPr>
    </w:p>
    <w:p w14:paraId="29362E74" w14:textId="1BE68381" w:rsidR="004353B2" w:rsidRDefault="005A0D24" w:rsidP="004353B2">
      <w:pPr>
        <w:numPr>
          <w:ilvl w:val="0"/>
          <w:numId w:val="9"/>
        </w:numPr>
        <w:ind w:left="360"/>
        <w:rPr>
          <w:rFonts w:cs="Arial"/>
          <w:szCs w:val="22"/>
        </w:rPr>
      </w:pPr>
      <w:r>
        <w:rPr>
          <w:rFonts w:cs="Arial"/>
          <w:szCs w:val="22"/>
        </w:rPr>
        <w:t xml:space="preserve">Assessment </w:t>
      </w:r>
      <w:proofErr w:type="gramStart"/>
      <w:r>
        <w:rPr>
          <w:rFonts w:cs="Arial"/>
          <w:szCs w:val="22"/>
        </w:rPr>
        <w:t>criteria</w:t>
      </w:r>
      <w:r w:rsidR="000C6CB4">
        <w:rPr>
          <w:rFonts w:cs="Arial"/>
          <w:szCs w:val="22"/>
        </w:rPr>
        <w:t>,</w:t>
      </w:r>
      <w:proofErr w:type="gramEnd"/>
      <w:r w:rsidR="000C6CB4">
        <w:rPr>
          <w:rFonts w:cs="Arial"/>
          <w:szCs w:val="22"/>
        </w:rPr>
        <w:t xml:space="preserve"> </w:t>
      </w:r>
      <w:r w:rsidR="004353B2">
        <w:rPr>
          <w:rFonts w:cs="Arial"/>
          <w:szCs w:val="22"/>
        </w:rPr>
        <w:t xml:space="preserve">or indication of the location of assessment criteria in, for example, module handbooks. </w:t>
      </w:r>
    </w:p>
    <w:p w14:paraId="1EA0E8EA" w14:textId="77777777" w:rsidR="004353B2" w:rsidRDefault="004353B2" w:rsidP="004353B2">
      <w:pPr>
        <w:rPr>
          <w:rFonts w:cs="Arial"/>
          <w:szCs w:val="22"/>
        </w:rPr>
      </w:pPr>
    </w:p>
    <w:p w14:paraId="1E142B82" w14:textId="73CBE5C9" w:rsidR="004353B2" w:rsidRDefault="004353B2" w:rsidP="004353B2">
      <w:pPr>
        <w:numPr>
          <w:ilvl w:val="0"/>
          <w:numId w:val="9"/>
        </w:numPr>
        <w:ind w:left="360"/>
        <w:rPr>
          <w:rFonts w:cs="Arial"/>
          <w:szCs w:val="22"/>
        </w:rPr>
      </w:pPr>
      <w:r>
        <w:rPr>
          <w:rFonts w:cs="Arial"/>
          <w:szCs w:val="22"/>
        </w:rPr>
        <w:t>Processes for submitting work,</w:t>
      </w:r>
      <w:r w:rsidR="00267158">
        <w:rPr>
          <w:rFonts w:cs="Arial"/>
          <w:szCs w:val="22"/>
        </w:rPr>
        <w:t xml:space="preserve"> </w:t>
      </w:r>
      <w:r>
        <w:rPr>
          <w:rFonts w:cs="Arial"/>
          <w:szCs w:val="22"/>
        </w:rPr>
        <w:t xml:space="preserve">and </w:t>
      </w:r>
      <w:r w:rsidR="00267158">
        <w:rPr>
          <w:rFonts w:cs="Arial"/>
          <w:szCs w:val="22"/>
        </w:rPr>
        <w:t xml:space="preserve">arrangements </w:t>
      </w:r>
      <w:r>
        <w:rPr>
          <w:rFonts w:cs="Arial"/>
          <w:szCs w:val="22"/>
        </w:rPr>
        <w:t xml:space="preserve">for getting feedback on </w:t>
      </w:r>
      <w:r w:rsidR="00267158">
        <w:rPr>
          <w:rFonts w:cs="Arial"/>
          <w:szCs w:val="22"/>
        </w:rPr>
        <w:t>marked</w:t>
      </w:r>
      <w:r>
        <w:rPr>
          <w:rFonts w:cs="Arial"/>
          <w:szCs w:val="22"/>
        </w:rPr>
        <w:t xml:space="preserve"> work (including</w:t>
      </w:r>
      <w:r w:rsidR="000C6CB4">
        <w:rPr>
          <w:rFonts w:cs="Arial"/>
          <w:szCs w:val="22"/>
        </w:rPr>
        <w:t xml:space="preserve"> coursework and examinations). </w:t>
      </w:r>
      <w:r w:rsidR="00267158">
        <w:rPr>
          <w:rFonts w:cs="Arial"/>
          <w:szCs w:val="22"/>
        </w:rPr>
        <w:t>Also include information about any entitlements for formative assessment/feedback.</w:t>
      </w:r>
    </w:p>
    <w:p w14:paraId="06D5CD2E" w14:textId="77777777" w:rsidR="004353B2" w:rsidRDefault="004353B2" w:rsidP="004353B2">
      <w:pPr>
        <w:pStyle w:val="ListParagraph"/>
        <w:rPr>
          <w:rFonts w:cs="Arial"/>
          <w:szCs w:val="22"/>
        </w:rPr>
      </w:pPr>
    </w:p>
    <w:p w14:paraId="6554AEB2" w14:textId="766A9EB0" w:rsidR="004353B2" w:rsidRDefault="004353B2" w:rsidP="004353B2">
      <w:pPr>
        <w:numPr>
          <w:ilvl w:val="0"/>
          <w:numId w:val="9"/>
        </w:numPr>
        <w:ind w:left="426"/>
        <w:rPr>
          <w:rFonts w:cs="Arial"/>
          <w:szCs w:val="22"/>
        </w:rPr>
      </w:pPr>
      <w:r>
        <w:rPr>
          <w:rFonts w:cs="Arial"/>
          <w:szCs w:val="22"/>
        </w:rPr>
        <w:t xml:space="preserve">Processes for extensions and penalties for late submission; </w:t>
      </w:r>
      <w:r w:rsidR="00B50D22">
        <w:rPr>
          <w:rFonts w:cs="Arial"/>
          <w:szCs w:val="22"/>
        </w:rPr>
        <w:t xml:space="preserve">link to the </w:t>
      </w:r>
      <w:r w:rsidR="00267158">
        <w:rPr>
          <w:rFonts w:cs="Arial"/>
          <w:szCs w:val="22"/>
        </w:rPr>
        <w:t>Exceptional</w:t>
      </w:r>
      <w:r>
        <w:rPr>
          <w:rFonts w:cs="Arial"/>
          <w:szCs w:val="22"/>
        </w:rPr>
        <w:t xml:space="preserve"> Circumstances </w:t>
      </w:r>
      <w:r w:rsidR="00D53066">
        <w:rPr>
          <w:rFonts w:cs="Arial"/>
          <w:szCs w:val="22"/>
        </w:rPr>
        <w:t>policy</w:t>
      </w:r>
      <w:r w:rsidR="00B50D22">
        <w:rPr>
          <w:rFonts w:cs="Arial"/>
          <w:szCs w:val="22"/>
        </w:rPr>
        <w:t xml:space="preserve"> managed by SIRT at </w:t>
      </w:r>
      <w:hyperlink r:id="rId12" w:history="1">
        <w:r w:rsidR="00B50D22">
          <w:rPr>
            <w:rStyle w:val="Hyperlink"/>
          </w:rPr>
          <w:t>https://www.brookes.ac.uk/students/your-studies/exceptional-circumstances/</w:t>
        </w:r>
      </w:hyperlink>
      <w:r w:rsidR="00B50D22">
        <w:t xml:space="preserve">  Add details about any local support arrangements that are releva</w:t>
      </w:r>
      <w:r w:rsidR="00D53066">
        <w:t xml:space="preserve">nt to students on the programme; and for collaborative programmes, indicate the procedures that students should follow to submit a claim (partner organisations are required to adhere to the University policy, but should have their own procedures in place for considering applications). </w:t>
      </w:r>
    </w:p>
    <w:p w14:paraId="7CBEC711" w14:textId="77777777" w:rsidR="004353B2" w:rsidRDefault="004353B2" w:rsidP="004353B2">
      <w:pPr>
        <w:pStyle w:val="ListParagraph"/>
        <w:ind w:left="0"/>
        <w:rPr>
          <w:rFonts w:cs="Arial"/>
          <w:szCs w:val="22"/>
        </w:rPr>
      </w:pPr>
    </w:p>
    <w:p w14:paraId="3DE7C04D" w14:textId="63F6622B" w:rsidR="004353B2" w:rsidRDefault="004353B2" w:rsidP="004353B2">
      <w:pPr>
        <w:numPr>
          <w:ilvl w:val="0"/>
          <w:numId w:val="9"/>
        </w:numPr>
        <w:ind w:left="360"/>
        <w:rPr>
          <w:rFonts w:cs="Arial"/>
          <w:szCs w:val="22"/>
        </w:rPr>
      </w:pPr>
      <w:r>
        <w:rPr>
          <w:rFonts w:cs="Arial"/>
          <w:szCs w:val="22"/>
        </w:rPr>
        <w:t>A brief outline of the procedures in place for marking and internal moderation (</w:t>
      </w:r>
      <w:r w:rsidR="00B50D22">
        <w:rPr>
          <w:rFonts w:cs="Arial"/>
          <w:szCs w:val="22"/>
        </w:rPr>
        <w:t>as per</w:t>
      </w:r>
      <w:r>
        <w:rPr>
          <w:rFonts w:cs="Arial"/>
          <w:szCs w:val="22"/>
        </w:rPr>
        <w:t xml:space="preserve"> agreed Faculty policies), and for the ratification of marks by Examination Committees; and the role of the external examiner on the programme. </w:t>
      </w:r>
      <w:r w:rsidR="00776623">
        <w:rPr>
          <w:rFonts w:cs="Arial"/>
          <w:szCs w:val="22"/>
        </w:rPr>
        <w:t xml:space="preserve"> </w:t>
      </w:r>
      <w:r w:rsidR="00776623" w:rsidRPr="009717E7">
        <w:rPr>
          <w:rFonts w:cs="Arial"/>
          <w:szCs w:val="22"/>
        </w:rPr>
        <w:t>Fairness in assessment is referenced in new Regulations</w:t>
      </w:r>
      <w:r w:rsidR="009717E7" w:rsidRPr="009717E7">
        <w:rPr>
          <w:rFonts w:cs="Arial"/>
          <w:szCs w:val="22"/>
        </w:rPr>
        <w:t>.</w:t>
      </w:r>
      <w:r w:rsidR="00776623">
        <w:rPr>
          <w:rFonts w:cs="Arial"/>
          <w:szCs w:val="22"/>
        </w:rPr>
        <w:br/>
      </w:r>
      <w:r w:rsidR="00776623">
        <w:rPr>
          <w:rFonts w:cs="Arial"/>
          <w:szCs w:val="22"/>
        </w:rPr>
        <w:br/>
      </w:r>
      <w:r>
        <w:rPr>
          <w:rFonts w:cs="Arial"/>
          <w:szCs w:val="22"/>
        </w:rPr>
        <w:t xml:space="preserve">Students should be informed that the reports of the external examiner are made available to them via </w:t>
      </w:r>
      <w:r w:rsidR="00B50D22">
        <w:rPr>
          <w:rFonts w:cs="Arial"/>
          <w:szCs w:val="22"/>
        </w:rPr>
        <w:t>Moodle</w:t>
      </w:r>
      <w:r>
        <w:rPr>
          <w:rFonts w:cs="Arial"/>
          <w:szCs w:val="22"/>
        </w:rPr>
        <w:t xml:space="preserve">. </w:t>
      </w:r>
      <w:r w:rsidRPr="00D36F30">
        <w:rPr>
          <w:rFonts w:cs="Arial"/>
          <w:color w:val="D10373"/>
          <w:szCs w:val="22"/>
        </w:rPr>
        <w:t>The name of the external examiner and institution/organisation at which they are employed is included in the report, and students should be advised that this information is provided for transparency and not for the purposes of direct communication with the external examiner.</w:t>
      </w:r>
      <w:r w:rsidR="00D36F30">
        <w:rPr>
          <w:rFonts w:cs="Arial"/>
          <w:color w:val="D10373"/>
          <w:szCs w:val="22"/>
        </w:rPr>
        <w:t xml:space="preserve"> </w:t>
      </w:r>
    </w:p>
    <w:p w14:paraId="7EC91DD0" w14:textId="77777777" w:rsidR="004353B2" w:rsidRDefault="004353B2" w:rsidP="004353B2">
      <w:pPr>
        <w:rPr>
          <w:rFonts w:cs="Arial"/>
          <w:szCs w:val="22"/>
        </w:rPr>
      </w:pPr>
    </w:p>
    <w:p w14:paraId="0489BE96" w14:textId="2E72354A" w:rsidR="00D36F30" w:rsidRPr="00D36F30" w:rsidRDefault="004353B2" w:rsidP="00D36F30">
      <w:pPr>
        <w:numPr>
          <w:ilvl w:val="0"/>
          <w:numId w:val="9"/>
        </w:numPr>
        <w:ind w:left="426"/>
        <w:rPr>
          <w:rFonts w:cs="Arial"/>
          <w:szCs w:val="22"/>
        </w:rPr>
      </w:pPr>
      <w:r w:rsidRPr="00D36F30">
        <w:rPr>
          <w:rFonts w:cs="Arial"/>
          <w:szCs w:val="22"/>
        </w:rPr>
        <w:t xml:space="preserve">Where to find information about academic appeals and complaints processes. </w:t>
      </w:r>
      <w:r w:rsidRPr="00B50D22">
        <w:rPr>
          <w:rFonts w:cs="Arial"/>
          <w:szCs w:val="22"/>
        </w:rPr>
        <w:t>A short outline about what appeals and complaints are and how they are dealt</w:t>
      </w:r>
      <w:r w:rsidR="00B50D22">
        <w:rPr>
          <w:rFonts w:cs="Arial"/>
          <w:szCs w:val="22"/>
        </w:rPr>
        <w:t>,</w:t>
      </w:r>
      <w:r w:rsidRPr="00B50D22">
        <w:rPr>
          <w:rFonts w:cs="Arial"/>
          <w:szCs w:val="22"/>
        </w:rPr>
        <w:t xml:space="preserve"> </w:t>
      </w:r>
      <w:r w:rsidR="00B50D22" w:rsidRPr="00B50D22">
        <w:rPr>
          <w:rFonts w:cs="Arial"/>
          <w:szCs w:val="22"/>
        </w:rPr>
        <w:t xml:space="preserve">and refer to SIRT web pages at </w:t>
      </w:r>
      <w:hyperlink r:id="rId13" w:history="1">
        <w:r w:rsidR="00B50D22">
          <w:rPr>
            <w:rStyle w:val="Hyperlink"/>
          </w:rPr>
          <w:t>https://www.brookes.ac.uk/students/sirt/academic-appeals/</w:t>
        </w:r>
      </w:hyperlink>
      <w:r w:rsidR="00B50D22">
        <w:t xml:space="preserve"> and </w:t>
      </w:r>
      <w:hyperlink r:id="rId14" w:history="1">
        <w:r w:rsidR="00B50D22">
          <w:rPr>
            <w:rStyle w:val="Hyperlink"/>
          </w:rPr>
          <w:t>https://www.brookes.ac.uk/students/sirt/student-complaints/</w:t>
        </w:r>
      </w:hyperlink>
    </w:p>
    <w:p w14:paraId="33612416" w14:textId="77777777" w:rsidR="00D36F30" w:rsidRDefault="00D36F30" w:rsidP="00D36F30">
      <w:pPr>
        <w:pStyle w:val="ListParagraph"/>
        <w:rPr>
          <w:rFonts w:cs="Arial"/>
          <w:szCs w:val="22"/>
        </w:rPr>
      </w:pPr>
    </w:p>
    <w:p w14:paraId="30B21E2F" w14:textId="6C890318" w:rsidR="004353B2" w:rsidRPr="004D3E4E" w:rsidRDefault="00D755FF" w:rsidP="00D36F30">
      <w:pPr>
        <w:numPr>
          <w:ilvl w:val="0"/>
          <w:numId w:val="9"/>
        </w:numPr>
        <w:ind w:left="426"/>
        <w:rPr>
          <w:rFonts w:cs="Arial"/>
          <w:szCs w:val="22"/>
        </w:rPr>
      </w:pPr>
      <w:r>
        <w:rPr>
          <w:rFonts w:cs="Arial"/>
          <w:szCs w:val="22"/>
        </w:rPr>
        <w:t>Academic integrity: g</w:t>
      </w:r>
      <w:r w:rsidR="004353B2" w:rsidRPr="00D36F30">
        <w:rPr>
          <w:rFonts w:cs="Arial"/>
          <w:szCs w:val="22"/>
        </w:rPr>
        <w:t xml:space="preserve">ood academic practice and the use of </w:t>
      </w:r>
      <w:proofErr w:type="spellStart"/>
      <w:r w:rsidR="004353B2" w:rsidRPr="00D36F30">
        <w:rPr>
          <w:rFonts w:cs="Arial"/>
          <w:szCs w:val="22"/>
        </w:rPr>
        <w:t>Turnitin</w:t>
      </w:r>
      <w:proofErr w:type="spellEnd"/>
      <w:r w:rsidR="004353B2" w:rsidRPr="00D36F30">
        <w:rPr>
          <w:rFonts w:cs="Arial"/>
          <w:szCs w:val="22"/>
        </w:rPr>
        <w:t xml:space="preserve"> </w:t>
      </w:r>
      <w:r w:rsidR="004353B2" w:rsidRPr="009717E7">
        <w:rPr>
          <w:rFonts w:cs="Arial"/>
          <w:szCs w:val="22"/>
        </w:rPr>
        <w:t xml:space="preserve">(refer to the </w:t>
      </w:r>
      <w:proofErr w:type="spellStart"/>
      <w:r w:rsidR="00B50D22" w:rsidRPr="009717E7">
        <w:rPr>
          <w:rFonts w:cs="Arial"/>
          <w:szCs w:val="22"/>
        </w:rPr>
        <w:t>Turnitin</w:t>
      </w:r>
      <w:proofErr w:type="spellEnd"/>
      <w:r w:rsidR="004353B2" w:rsidRPr="009717E7">
        <w:rPr>
          <w:rFonts w:cs="Arial"/>
          <w:szCs w:val="22"/>
        </w:rPr>
        <w:t xml:space="preserve"> policy</w:t>
      </w:r>
      <w:r w:rsidR="00B50D22" w:rsidRPr="009717E7">
        <w:rPr>
          <w:rFonts w:cs="Arial"/>
          <w:szCs w:val="22"/>
        </w:rPr>
        <w:t xml:space="preserve"> – </w:t>
      </w:r>
      <w:r w:rsidR="009717E7" w:rsidRPr="009717E7">
        <w:rPr>
          <w:rFonts w:cs="Arial"/>
          <w:szCs w:val="22"/>
        </w:rPr>
        <w:t>published in the academic policies contained within the Regulations</w:t>
      </w:r>
      <w:r w:rsidR="00B50D22" w:rsidRPr="009717E7">
        <w:rPr>
          <w:rFonts w:cs="Arial"/>
          <w:szCs w:val="22"/>
        </w:rPr>
        <w:t>)</w:t>
      </w:r>
      <w:r w:rsidR="004353B2" w:rsidRPr="009717E7">
        <w:rPr>
          <w:rFonts w:cs="Arial"/>
          <w:szCs w:val="22"/>
        </w:rPr>
        <w:t>;</w:t>
      </w:r>
      <w:r w:rsidR="004353B2" w:rsidRPr="00D36F30">
        <w:rPr>
          <w:rFonts w:cs="Arial"/>
          <w:szCs w:val="22"/>
        </w:rPr>
        <w:t xml:space="preserve"> the role of the ACO</w:t>
      </w:r>
      <w:r w:rsidR="00230C69">
        <w:rPr>
          <w:rFonts w:cs="Arial"/>
          <w:szCs w:val="22"/>
        </w:rPr>
        <w:t>.</w:t>
      </w:r>
      <w:r w:rsidR="004353B2" w:rsidRPr="00D36F30">
        <w:rPr>
          <w:rFonts w:cs="Arial"/>
          <w:szCs w:val="22"/>
        </w:rPr>
        <w:t xml:space="preserve"> </w:t>
      </w:r>
      <w:r w:rsidR="00B50D22">
        <w:rPr>
          <w:rFonts w:cs="Arial"/>
          <w:szCs w:val="22"/>
        </w:rPr>
        <w:t xml:space="preserve"> Useful link to guidance on academic integrity at </w:t>
      </w:r>
      <w:hyperlink r:id="rId15" w:history="1">
        <w:r w:rsidR="00B50D22">
          <w:rPr>
            <w:rStyle w:val="Hyperlink"/>
          </w:rPr>
          <w:t>https://www.brookes.ac.uk/students/upgrade/study-skills/academic-integrity/</w:t>
        </w:r>
      </w:hyperlink>
      <w:r w:rsidR="00B50D22">
        <w:t xml:space="preserve"> </w:t>
      </w:r>
      <w:r w:rsidR="00B50D22">
        <w:rPr>
          <w:rFonts w:cs="Arial"/>
          <w:szCs w:val="22"/>
        </w:rPr>
        <w:t xml:space="preserve"> and to academic misconduct processes on SIRT web pages at </w:t>
      </w:r>
      <w:hyperlink r:id="rId16" w:history="1">
        <w:r w:rsidR="00B50D22">
          <w:rPr>
            <w:rStyle w:val="Hyperlink"/>
          </w:rPr>
          <w:t>https://www.brookes.ac.uk/students/sirt/student-conduct/academic-misconduct/</w:t>
        </w:r>
      </w:hyperlink>
    </w:p>
    <w:p w14:paraId="3C3CC1C6" w14:textId="77777777" w:rsidR="004D3E4E" w:rsidRDefault="004D3E4E" w:rsidP="004D3E4E">
      <w:pPr>
        <w:pStyle w:val="ListParagraph"/>
        <w:rPr>
          <w:rFonts w:cs="Arial"/>
          <w:szCs w:val="22"/>
        </w:rPr>
      </w:pPr>
    </w:p>
    <w:p w14:paraId="01E29476" w14:textId="107B1874" w:rsidR="004D3E4E" w:rsidRPr="00D36F30" w:rsidRDefault="004D3E4E" w:rsidP="00D36F30">
      <w:pPr>
        <w:numPr>
          <w:ilvl w:val="0"/>
          <w:numId w:val="9"/>
        </w:numPr>
        <w:ind w:left="426"/>
        <w:rPr>
          <w:rFonts w:cs="Arial"/>
          <w:szCs w:val="22"/>
        </w:rPr>
      </w:pPr>
      <w:r>
        <w:rPr>
          <w:rFonts w:cs="Arial"/>
          <w:szCs w:val="22"/>
        </w:rPr>
        <w:t xml:space="preserve">End </w:t>
      </w:r>
      <w:r w:rsidR="00A82070">
        <w:rPr>
          <w:rFonts w:cs="Arial"/>
          <w:szCs w:val="22"/>
        </w:rPr>
        <w:t>P</w:t>
      </w:r>
      <w:r>
        <w:rPr>
          <w:rFonts w:cs="Arial"/>
          <w:szCs w:val="22"/>
        </w:rPr>
        <w:t xml:space="preserve">oint </w:t>
      </w:r>
      <w:r w:rsidR="00A82070">
        <w:rPr>
          <w:rFonts w:cs="Arial"/>
          <w:szCs w:val="22"/>
        </w:rPr>
        <w:t>A</w:t>
      </w:r>
      <w:r>
        <w:rPr>
          <w:rFonts w:cs="Arial"/>
          <w:szCs w:val="22"/>
        </w:rPr>
        <w:t>ssessment</w:t>
      </w:r>
      <w:r w:rsidR="00A82070">
        <w:rPr>
          <w:rFonts w:cs="Arial"/>
          <w:szCs w:val="22"/>
        </w:rPr>
        <w:t xml:space="preserve"> (apprenticeship provision</w:t>
      </w:r>
      <w:r w:rsidR="00B50D22">
        <w:rPr>
          <w:rFonts w:cs="Arial"/>
          <w:szCs w:val="22"/>
        </w:rPr>
        <w:t xml:space="preserve"> only</w:t>
      </w:r>
      <w:proofErr w:type="gramStart"/>
      <w:r w:rsidR="00A82070">
        <w:rPr>
          <w:rFonts w:cs="Arial"/>
          <w:szCs w:val="22"/>
        </w:rPr>
        <w:t>)-</w:t>
      </w:r>
      <w:proofErr w:type="gramEnd"/>
      <w:r w:rsidR="00A82070">
        <w:rPr>
          <w:rFonts w:cs="Arial"/>
          <w:szCs w:val="22"/>
        </w:rPr>
        <w:t xml:space="preserve"> </w:t>
      </w:r>
      <w:r>
        <w:rPr>
          <w:rFonts w:cs="Arial"/>
          <w:szCs w:val="22"/>
        </w:rPr>
        <w:t>outline</w:t>
      </w:r>
      <w:r w:rsidR="00B50D22">
        <w:rPr>
          <w:rFonts w:cs="Arial"/>
          <w:szCs w:val="22"/>
        </w:rPr>
        <w:t xml:space="preserve"> the</w:t>
      </w:r>
      <w:r>
        <w:rPr>
          <w:rFonts w:cs="Arial"/>
          <w:szCs w:val="22"/>
        </w:rPr>
        <w:t xml:space="preserve"> arrangements for the </w:t>
      </w:r>
      <w:r w:rsidR="00A82070">
        <w:rPr>
          <w:rFonts w:cs="Arial"/>
          <w:szCs w:val="22"/>
        </w:rPr>
        <w:t>EPA</w:t>
      </w:r>
      <w:r>
        <w:rPr>
          <w:rFonts w:cs="Arial"/>
          <w:szCs w:val="22"/>
        </w:rPr>
        <w:t xml:space="preserve"> required to achieve the apprenticeship </w:t>
      </w:r>
      <w:r w:rsidR="00B50D22">
        <w:rPr>
          <w:rFonts w:cs="Arial"/>
          <w:szCs w:val="22"/>
        </w:rPr>
        <w:t xml:space="preserve">standard. </w:t>
      </w:r>
    </w:p>
    <w:p w14:paraId="6C6629F0" w14:textId="77777777" w:rsidR="004353B2" w:rsidRDefault="004353B2" w:rsidP="004353B2">
      <w:pPr>
        <w:rPr>
          <w:rFonts w:cs="Arial"/>
          <w:szCs w:val="22"/>
        </w:rPr>
      </w:pPr>
    </w:p>
    <w:p w14:paraId="2663C970" w14:textId="77777777" w:rsidR="004353B2" w:rsidRDefault="004353B2" w:rsidP="004353B2">
      <w:pPr>
        <w:rPr>
          <w:rFonts w:cs="Arial"/>
          <w:szCs w:val="22"/>
        </w:rPr>
      </w:pPr>
      <w:r>
        <w:rPr>
          <w:rFonts w:cs="Arial"/>
          <w:b/>
          <w:szCs w:val="22"/>
        </w:rPr>
        <w:t>Learning resources</w:t>
      </w:r>
    </w:p>
    <w:p w14:paraId="5D3391CC" w14:textId="77777777" w:rsidR="00F05515" w:rsidRDefault="00F05515" w:rsidP="00F05515">
      <w:pPr>
        <w:ind w:left="360"/>
        <w:rPr>
          <w:rFonts w:cs="Arial"/>
          <w:szCs w:val="22"/>
        </w:rPr>
      </w:pPr>
    </w:p>
    <w:p w14:paraId="1E6D1D39" w14:textId="70C79F95" w:rsidR="004353B2" w:rsidRDefault="004353B2" w:rsidP="004353B2">
      <w:pPr>
        <w:numPr>
          <w:ilvl w:val="0"/>
          <w:numId w:val="10"/>
        </w:numPr>
        <w:ind w:left="360"/>
        <w:rPr>
          <w:rFonts w:cs="Arial"/>
          <w:szCs w:val="22"/>
        </w:rPr>
      </w:pPr>
      <w:r>
        <w:rPr>
          <w:rFonts w:cs="Arial"/>
          <w:szCs w:val="22"/>
        </w:rPr>
        <w:t xml:space="preserve">Information about access to Library, IT, other specialist teaching accommodation and facilities, etc. </w:t>
      </w:r>
      <w:r w:rsidRPr="00F05515">
        <w:rPr>
          <w:rFonts w:cs="Arial"/>
          <w:color w:val="D10373"/>
          <w:szCs w:val="22"/>
        </w:rPr>
        <w:t xml:space="preserve">Length </w:t>
      </w:r>
      <w:r w:rsidR="00776623">
        <w:rPr>
          <w:rFonts w:cs="Arial"/>
          <w:color w:val="D10373"/>
          <w:szCs w:val="22"/>
        </w:rPr>
        <w:t xml:space="preserve">of this section </w:t>
      </w:r>
      <w:r w:rsidRPr="00F05515">
        <w:rPr>
          <w:rFonts w:cs="Arial"/>
          <w:color w:val="D10373"/>
          <w:szCs w:val="22"/>
        </w:rPr>
        <w:t xml:space="preserve">depends on local needs: </w:t>
      </w:r>
      <w:r w:rsidRPr="00E46D7B">
        <w:rPr>
          <w:rFonts w:cs="Arial"/>
          <w:szCs w:val="22"/>
        </w:rPr>
        <w:t>refer students to relevant central webpages on Library and IT</w:t>
      </w:r>
      <w:r w:rsidR="00E46D7B" w:rsidRPr="00E46D7B">
        <w:rPr>
          <w:rFonts w:cs="Arial"/>
          <w:szCs w:val="22"/>
        </w:rPr>
        <w:t xml:space="preserve"> (or to student webpages at </w:t>
      </w:r>
      <w:hyperlink r:id="rId17" w:history="1">
        <w:r w:rsidR="00E46D7B" w:rsidRPr="00E46D7B">
          <w:rPr>
            <w:rStyle w:val="Hyperlink"/>
            <w:color w:val="auto"/>
          </w:rPr>
          <w:t>https://www.brookes.ac.uk/students/</w:t>
        </w:r>
      </w:hyperlink>
      <w:r w:rsidR="00E46D7B" w:rsidRPr="00E46D7B">
        <w:t xml:space="preserve"> which has quick links to LR and ITS)</w:t>
      </w:r>
      <w:r w:rsidRPr="00E46D7B">
        <w:rPr>
          <w:rFonts w:cs="Arial"/>
          <w:szCs w:val="22"/>
        </w:rPr>
        <w:t xml:space="preserve">, with some contextual information about where to find resources appropriate to the programme, plus an outline of any dedicated local space, </w:t>
      </w:r>
      <w:r w:rsidR="00776623" w:rsidRPr="00E46D7B">
        <w:rPr>
          <w:rFonts w:cs="Arial"/>
          <w:szCs w:val="22"/>
        </w:rPr>
        <w:t xml:space="preserve">specialist </w:t>
      </w:r>
      <w:r w:rsidRPr="00E46D7B">
        <w:rPr>
          <w:rFonts w:cs="Arial"/>
          <w:szCs w:val="22"/>
        </w:rPr>
        <w:t>resources or facilities for students on the programme and how to access them.</w:t>
      </w:r>
    </w:p>
    <w:p w14:paraId="5B06CC94" w14:textId="77777777" w:rsidR="004353B2" w:rsidRDefault="004353B2" w:rsidP="004353B2">
      <w:pPr>
        <w:rPr>
          <w:rFonts w:cs="Arial"/>
          <w:szCs w:val="22"/>
        </w:rPr>
      </w:pPr>
    </w:p>
    <w:p w14:paraId="2EE31E70" w14:textId="77777777" w:rsidR="004353B2" w:rsidRDefault="004353B2" w:rsidP="004353B2">
      <w:pPr>
        <w:rPr>
          <w:rFonts w:cs="Arial"/>
          <w:b/>
          <w:szCs w:val="22"/>
        </w:rPr>
      </w:pPr>
      <w:r>
        <w:rPr>
          <w:rFonts w:cs="Arial"/>
          <w:b/>
          <w:szCs w:val="22"/>
        </w:rPr>
        <w:t>Student support and guidance</w:t>
      </w:r>
    </w:p>
    <w:p w14:paraId="5A136BE7" w14:textId="77777777" w:rsidR="00F05515" w:rsidRDefault="00F05515" w:rsidP="00F05515">
      <w:pPr>
        <w:ind w:left="360"/>
        <w:rPr>
          <w:rFonts w:cs="Arial"/>
          <w:szCs w:val="22"/>
        </w:rPr>
      </w:pPr>
    </w:p>
    <w:p w14:paraId="361F661E" w14:textId="4389FEBE" w:rsidR="004353B2" w:rsidRDefault="004353B2" w:rsidP="004353B2">
      <w:pPr>
        <w:numPr>
          <w:ilvl w:val="0"/>
          <w:numId w:val="10"/>
        </w:numPr>
        <w:ind w:left="360"/>
        <w:rPr>
          <w:rFonts w:cs="Arial"/>
          <w:szCs w:val="22"/>
        </w:rPr>
      </w:pPr>
      <w:r>
        <w:rPr>
          <w:rFonts w:cs="Arial"/>
          <w:szCs w:val="22"/>
        </w:rPr>
        <w:t>Induction information, use of</w:t>
      </w:r>
      <w:r w:rsidR="00B8286E">
        <w:rPr>
          <w:rFonts w:cs="Arial"/>
          <w:szCs w:val="22"/>
        </w:rPr>
        <w:t xml:space="preserve"> student information system</w:t>
      </w:r>
      <w:r>
        <w:rPr>
          <w:rFonts w:cs="Arial"/>
          <w:szCs w:val="22"/>
        </w:rPr>
        <w:t>, Department procedures for notification of sickness/absence, etc.</w:t>
      </w:r>
    </w:p>
    <w:p w14:paraId="6D9D67A2" w14:textId="77777777" w:rsidR="00F05515" w:rsidRDefault="00F05515" w:rsidP="00F05515">
      <w:pPr>
        <w:ind w:left="360"/>
        <w:rPr>
          <w:rFonts w:cs="Arial"/>
          <w:szCs w:val="22"/>
        </w:rPr>
      </w:pPr>
    </w:p>
    <w:p w14:paraId="4A9DB0C8" w14:textId="296DCAE0" w:rsidR="004353B2" w:rsidRPr="00A24FF4" w:rsidRDefault="004353B2" w:rsidP="00A24FF4">
      <w:pPr>
        <w:pStyle w:val="ListParagraph"/>
        <w:numPr>
          <w:ilvl w:val="0"/>
          <w:numId w:val="14"/>
        </w:numPr>
        <w:rPr>
          <w:rFonts w:cs="Arial"/>
          <w:szCs w:val="22"/>
        </w:rPr>
      </w:pPr>
      <w:r w:rsidRPr="00A24FF4">
        <w:rPr>
          <w:rFonts w:cs="Arial"/>
          <w:szCs w:val="22"/>
        </w:rPr>
        <w:t>Academic guidance –a short narrative to describe how a student on this specific programme should expect to experience the primary forms of academic</w:t>
      </w:r>
      <w:r w:rsidR="004F61D2">
        <w:rPr>
          <w:rFonts w:cs="Arial"/>
          <w:szCs w:val="22"/>
        </w:rPr>
        <w:t xml:space="preserve"> or </w:t>
      </w:r>
      <w:r w:rsidR="00E46D7B">
        <w:rPr>
          <w:rFonts w:cs="Arial"/>
          <w:szCs w:val="22"/>
        </w:rPr>
        <w:t>pastoral</w:t>
      </w:r>
      <w:r w:rsidRPr="00A24FF4">
        <w:rPr>
          <w:rFonts w:cs="Arial"/>
          <w:szCs w:val="22"/>
        </w:rPr>
        <w:t xml:space="preserve"> guidance (</w:t>
      </w:r>
      <w:r w:rsidR="004F61D2">
        <w:rPr>
          <w:rFonts w:cs="Arial"/>
          <w:szCs w:val="22"/>
        </w:rPr>
        <w:t>e.g.</w:t>
      </w:r>
      <w:r w:rsidRPr="00A24FF4">
        <w:rPr>
          <w:rFonts w:cs="Arial"/>
          <w:szCs w:val="22"/>
        </w:rPr>
        <w:t xml:space="preserve"> Lecturers, Module Leaders, Subject </w:t>
      </w:r>
      <w:r w:rsidR="00415EF0">
        <w:rPr>
          <w:rFonts w:cs="Arial"/>
          <w:szCs w:val="22"/>
        </w:rPr>
        <w:t xml:space="preserve">Coordinators, Academic Advisers, </w:t>
      </w:r>
      <w:r w:rsidR="000B633C" w:rsidRPr="00A24FF4">
        <w:rPr>
          <w:rFonts w:cs="Arial"/>
          <w:szCs w:val="22"/>
        </w:rPr>
        <w:t>Student Support Coordinators</w:t>
      </w:r>
      <w:r w:rsidR="00415EF0">
        <w:rPr>
          <w:rFonts w:cs="Arial"/>
          <w:szCs w:val="22"/>
        </w:rPr>
        <w:t>, Programme Administrators</w:t>
      </w:r>
      <w:r w:rsidR="000B633C" w:rsidRPr="00A24FF4">
        <w:rPr>
          <w:rFonts w:cs="Arial"/>
          <w:szCs w:val="22"/>
        </w:rPr>
        <w:t xml:space="preserve">). </w:t>
      </w:r>
      <w:r w:rsidRPr="00A24FF4">
        <w:rPr>
          <w:rFonts w:cs="Arial"/>
          <w:szCs w:val="22"/>
        </w:rPr>
        <w:t xml:space="preserve">Contact information for key members of staff can be included, or links provided to the information if it is in other sections of the handbook. </w:t>
      </w:r>
    </w:p>
    <w:p w14:paraId="1E93B71C" w14:textId="77777777" w:rsidR="00F05515" w:rsidRDefault="00F05515" w:rsidP="00F05515">
      <w:pPr>
        <w:ind w:left="426"/>
        <w:rPr>
          <w:rFonts w:cs="Arial"/>
          <w:szCs w:val="22"/>
        </w:rPr>
      </w:pPr>
    </w:p>
    <w:p w14:paraId="23E46778" w14:textId="77777777" w:rsidR="00F05515" w:rsidRPr="00F05515" w:rsidRDefault="004353B2" w:rsidP="00AA4FCB">
      <w:pPr>
        <w:numPr>
          <w:ilvl w:val="0"/>
          <w:numId w:val="10"/>
        </w:numPr>
        <w:ind w:left="426"/>
        <w:rPr>
          <w:rFonts w:cs="Arial"/>
          <w:szCs w:val="22"/>
        </w:rPr>
      </w:pPr>
      <w:r w:rsidRPr="00F05515">
        <w:rPr>
          <w:rFonts w:cs="Arial"/>
          <w:szCs w:val="22"/>
        </w:rPr>
        <w:t>Information ab</w:t>
      </w:r>
      <w:r w:rsidR="00F05515" w:rsidRPr="00F05515">
        <w:rPr>
          <w:rFonts w:cs="Arial"/>
          <w:szCs w:val="22"/>
        </w:rPr>
        <w:t xml:space="preserve">out the </w:t>
      </w:r>
      <w:r w:rsidR="00370ECD">
        <w:rPr>
          <w:rFonts w:cs="Arial"/>
          <w:szCs w:val="22"/>
        </w:rPr>
        <w:t>Brookes</w:t>
      </w:r>
      <w:r w:rsidR="00F05515" w:rsidRPr="00F05515">
        <w:rPr>
          <w:rFonts w:cs="Arial"/>
          <w:szCs w:val="22"/>
        </w:rPr>
        <w:t xml:space="preserve"> Union </w:t>
      </w:r>
      <w:r w:rsidRPr="00F05515">
        <w:rPr>
          <w:rFonts w:cs="Arial"/>
          <w:szCs w:val="22"/>
        </w:rPr>
        <w:t>and link to</w:t>
      </w:r>
      <w:r w:rsidR="00370ECD">
        <w:rPr>
          <w:rFonts w:cs="Arial"/>
          <w:szCs w:val="22"/>
        </w:rPr>
        <w:t xml:space="preserve"> the</w:t>
      </w:r>
      <w:r w:rsidR="00A24FF4">
        <w:rPr>
          <w:rFonts w:cs="Arial"/>
          <w:szCs w:val="22"/>
        </w:rPr>
        <w:t xml:space="preserve"> </w:t>
      </w:r>
      <w:hyperlink r:id="rId18" w:history="1">
        <w:r w:rsidR="00A24FF4" w:rsidRPr="00A24FF4">
          <w:rPr>
            <w:rStyle w:val="Hyperlink"/>
            <w:rFonts w:cs="Arial"/>
            <w:szCs w:val="22"/>
          </w:rPr>
          <w:t>Brookes Union website</w:t>
        </w:r>
      </w:hyperlink>
      <w:r w:rsidR="00A24FF4">
        <w:rPr>
          <w:rFonts w:cs="Arial"/>
          <w:szCs w:val="22"/>
        </w:rPr>
        <w:t>.</w:t>
      </w:r>
    </w:p>
    <w:p w14:paraId="0C622636" w14:textId="77777777" w:rsidR="00F05515" w:rsidRDefault="00F05515" w:rsidP="00F05515">
      <w:pPr>
        <w:pStyle w:val="ListParagraph"/>
        <w:rPr>
          <w:rFonts w:cs="Arial"/>
          <w:szCs w:val="22"/>
        </w:rPr>
      </w:pPr>
    </w:p>
    <w:p w14:paraId="2C60A143" w14:textId="77777777" w:rsidR="004353B2" w:rsidRDefault="00F05515" w:rsidP="00F05515">
      <w:pPr>
        <w:numPr>
          <w:ilvl w:val="0"/>
          <w:numId w:val="10"/>
        </w:numPr>
        <w:ind w:left="426"/>
        <w:rPr>
          <w:rFonts w:cs="Arial"/>
          <w:szCs w:val="22"/>
        </w:rPr>
      </w:pPr>
      <w:r>
        <w:rPr>
          <w:rFonts w:cs="Arial"/>
          <w:szCs w:val="22"/>
        </w:rPr>
        <w:t>Equality and d</w:t>
      </w:r>
      <w:r w:rsidR="004353B2">
        <w:rPr>
          <w:rFonts w:cs="Arial"/>
          <w:szCs w:val="22"/>
        </w:rPr>
        <w:t>iversity statement</w:t>
      </w:r>
    </w:p>
    <w:p w14:paraId="1217514C" w14:textId="77777777" w:rsidR="00F05515" w:rsidRDefault="00F05515" w:rsidP="00F05515">
      <w:pPr>
        <w:pStyle w:val="ListParagraph"/>
        <w:rPr>
          <w:rFonts w:cs="Arial"/>
          <w:szCs w:val="22"/>
        </w:rPr>
      </w:pPr>
    </w:p>
    <w:p w14:paraId="23968ECD" w14:textId="77777777" w:rsidR="004353B2" w:rsidRDefault="00F05515" w:rsidP="00F05515">
      <w:pPr>
        <w:numPr>
          <w:ilvl w:val="0"/>
          <w:numId w:val="10"/>
        </w:numPr>
        <w:ind w:left="426"/>
        <w:rPr>
          <w:rFonts w:cs="Arial"/>
          <w:szCs w:val="22"/>
        </w:rPr>
      </w:pPr>
      <w:r>
        <w:rPr>
          <w:rFonts w:cs="Arial"/>
          <w:szCs w:val="22"/>
        </w:rPr>
        <w:t>Health and s</w:t>
      </w:r>
      <w:r w:rsidR="004353B2">
        <w:rPr>
          <w:rFonts w:cs="Arial"/>
          <w:szCs w:val="22"/>
        </w:rPr>
        <w:t>afety information</w:t>
      </w:r>
    </w:p>
    <w:p w14:paraId="61F11F2B" w14:textId="77777777" w:rsidR="00F05515" w:rsidRDefault="00F05515" w:rsidP="00F05515">
      <w:pPr>
        <w:pStyle w:val="ListParagraph"/>
        <w:rPr>
          <w:rFonts w:cs="Arial"/>
          <w:szCs w:val="22"/>
        </w:rPr>
      </w:pPr>
    </w:p>
    <w:p w14:paraId="7A45A682" w14:textId="77777777" w:rsidR="004353B2" w:rsidRDefault="00F05515" w:rsidP="00F05515">
      <w:pPr>
        <w:numPr>
          <w:ilvl w:val="0"/>
          <w:numId w:val="10"/>
        </w:numPr>
        <w:ind w:left="426"/>
        <w:rPr>
          <w:rFonts w:cs="Arial"/>
          <w:szCs w:val="22"/>
        </w:rPr>
      </w:pPr>
      <w:r>
        <w:rPr>
          <w:rFonts w:cs="Arial"/>
          <w:szCs w:val="22"/>
        </w:rPr>
        <w:t>Data p</w:t>
      </w:r>
      <w:r w:rsidR="004353B2">
        <w:rPr>
          <w:rFonts w:cs="Arial"/>
          <w:szCs w:val="22"/>
        </w:rPr>
        <w:t>rotection information</w:t>
      </w:r>
    </w:p>
    <w:p w14:paraId="5D11CD06" w14:textId="77777777" w:rsidR="004353B2" w:rsidRDefault="004353B2" w:rsidP="004353B2">
      <w:pPr>
        <w:rPr>
          <w:rFonts w:cs="Arial"/>
          <w:szCs w:val="22"/>
        </w:rPr>
      </w:pPr>
    </w:p>
    <w:p w14:paraId="47238E5F" w14:textId="7792FC16" w:rsidR="004353B2" w:rsidRPr="001E0A23" w:rsidRDefault="004353B2" w:rsidP="004353B2">
      <w:pPr>
        <w:numPr>
          <w:ilvl w:val="0"/>
          <w:numId w:val="10"/>
        </w:numPr>
        <w:ind w:left="360"/>
        <w:rPr>
          <w:rFonts w:cs="Arial"/>
          <w:szCs w:val="22"/>
        </w:rPr>
      </w:pPr>
      <w:r>
        <w:rPr>
          <w:rFonts w:cs="Arial"/>
          <w:szCs w:val="22"/>
        </w:rPr>
        <w:t xml:space="preserve">Sources of additional information: e.g. </w:t>
      </w:r>
      <w:r w:rsidR="00776623">
        <w:rPr>
          <w:rFonts w:cs="Arial"/>
          <w:szCs w:val="22"/>
        </w:rPr>
        <w:t>Registry</w:t>
      </w:r>
      <w:r>
        <w:rPr>
          <w:rFonts w:cs="Arial"/>
          <w:szCs w:val="22"/>
        </w:rPr>
        <w:t>, Careers, Wellbeing (Disability Service</w:t>
      </w:r>
      <w:r w:rsidR="00776623">
        <w:rPr>
          <w:rFonts w:cs="Arial"/>
          <w:szCs w:val="22"/>
        </w:rPr>
        <w:t>s</w:t>
      </w:r>
      <w:r w:rsidR="00F05515">
        <w:rPr>
          <w:rFonts w:cs="Arial"/>
          <w:szCs w:val="22"/>
        </w:rPr>
        <w:t xml:space="preserve">, </w:t>
      </w:r>
      <w:r>
        <w:rPr>
          <w:rFonts w:cs="Arial"/>
          <w:szCs w:val="22"/>
        </w:rPr>
        <w:t xml:space="preserve">Counselling), </w:t>
      </w:r>
      <w:r w:rsidR="00776623">
        <w:rPr>
          <w:rFonts w:cs="Arial"/>
          <w:szCs w:val="22"/>
        </w:rPr>
        <w:t xml:space="preserve">academic </w:t>
      </w:r>
      <w:r>
        <w:rPr>
          <w:rFonts w:cs="Arial"/>
          <w:szCs w:val="22"/>
        </w:rPr>
        <w:t>skills support available from Upgrade, etc.</w:t>
      </w:r>
      <w:r w:rsidR="00F05515">
        <w:rPr>
          <w:rFonts w:cs="Arial"/>
          <w:szCs w:val="22"/>
        </w:rPr>
        <w:t xml:space="preserve"> See</w:t>
      </w:r>
      <w:r>
        <w:rPr>
          <w:rFonts w:cs="Arial"/>
          <w:szCs w:val="22"/>
        </w:rPr>
        <w:t xml:space="preserve"> </w:t>
      </w:r>
      <w:hyperlink r:id="rId19" w:history="1">
        <w:r>
          <w:rPr>
            <w:rStyle w:val="Hyperlink"/>
            <w:rFonts w:cs="Arial"/>
            <w:szCs w:val="22"/>
          </w:rPr>
          <w:t>www.brookes.ac.uk/students</w:t>
        </w:r>
      </w:hyperlink>
      <w:r w:rsidR="00F05515">
        <w:rPr>
          <w:rFonts w:cs="Arial"/>
          <w:szCs w:val="22"/>
        </w:rPr>
        <w:t>.</w:t>
      </w:r>
      <w:r>
        <w:rPr>
          <w:rFonts w:cs="Arial"/>
          <w:szCs w:val="22"/>
        </w:rPr>
        <w:br/>
      </w:r>
      <w:r w:rsidRPr="00F05515">
        <w:rPr>
          <w:rFonts w:cs="Arial"/>
          <w:color w:val="D10373"/>
          <w:szCs w:val="22"/>
        </w:rPr>
        <w:t>Signpost students to relevant information on</w:t>
      </w:r>
      <w:r w:rsidR="00370ECD">
        <w:rPr>
          <w:rFonts w:cs="Arial"/>
          <w:color w:val="D10373"/>
          <w:szCs w:val="22"/>
        </w:rPr>
        <w:t xml:space="preserve"> the</w:t>
      </w:r>
      <w:r w:rsidR="00A24FF4">
        <w:rPr>
          <w:rFonts w:cs="Arial"/>
          <w:color w:val="D10373"/>
          <w:szCs w:val="22"/>
        </w:rPr>
        <w:t xml:space="preserve"> </w:t>
      </w:r>
      <w:hyperlink r:id="rId20" w:history="1">
        <w:r w:rsidR="00A24FF4" w:rsidRPr="00A24FF4">
          <w:rPr>
            <w:rStyle w:val="Hyperlink"/>
            <w:rFonts w:cs="Arial"/>
            <w:szCs w:val="22"/>
          </w:rPr>
          <w:t>ASA webpages</w:t>
        </w:r>
      </w:hyperlink>
      <w:r w:rsidR="00A24FF4">
        <w:rPr>
          <w:rFonts w:cs="Arial"/>
          <w:color w:val="D10373"/>
          <w:szCs w:val="22"/>
        </w:rPr>
        <w:t>.</w:t>
      </w:r>
    </w:p>
    <w:p w14:paraId="3A19B56B" w14:textId="77777777" w:rsidR="004353B2" w:rsidRDefault="004353B2" w:rsidP="004353B2">
      <w:pPr>
        <w:rPr>
          <w:rFonts w:cs="Arial"/>
          <w:szCs w:val="22"/>
        </w:rPr>
      </w:pPr>
    </w:p>
    <w:p w14:paraId="07519AB9" w14:textId="77777777" w:rsidR="004353B2" w:rsidRDefault="004353B2" w:rsidP="005B6528">
      <w:pPr>
        <w:pStyle w:val="Headv2"/>
      </w:pPr>
      <w:r>
        <w:t>Feedback on the quality of the learning experience</w:t>
      </w:r>
    </w:p>
    <w:p w14:paraId="60A95E4E" w14:textId="331955AF" w:rsidR="00281E23" w:rsidRDefault="00776623" w:rsidP="004353B2">
      <w:pPr>
        <w:rPr>
          <w:rFonts w:cs="Arial"/>
          <w:szCs w:val="22"/>
        </w:rPr>
      </w:pPr>
      <w:r>
        <w:rPr>
          <w:rFonts w:cs="Arial"/>
          <w:szCs w:val="22"/>
        </w:rPr>
        <w:t>QA and student voice:</w:t>
      </w:r>
      <w:r w:rsidR="004353B2">
        <w:rPr>
          <w:rFonts w:cs="Arial"/>
          <w:szCs w:val="22"/>
        </w:rPr>
        <w:t xml:space="preserve"> particular reference to the operation of student feedback mechanisms within the Department/School</w:t>
      </w:r>
      <w:r w:rsidR="005B6528">
        <w:rPr>
          <w:rFonts w:cs="Arial"/>
          <w:szCs w:val="22"/>
        </w:rPr>
        <w:t>,</w:t>
      </w:r>
      <w:r w:rsidR="004353B2">
        <w:rPr>
          <w:rFonts w:cs="Arial"/>
          <w:szCs w:val="22"/>
        </w:rPr>
        <w:t xml:space="preserve"> e.g. module evaluations, programme surveys, student rep</w:t>
      </w:r>
      <w:r>
        <w:rPr>
          <w:rFonts w:cs="Arial"/>
          <w:szCs w:val="22"/>
        </w:rPr>
        <w:t>resentation</w:t>
      </w:r>
      <w:r w:rsidR="004353B2">
        <w:rPr>
          <w:rFonts w:cs="Arial"/>
          <w:szCs w:val="22"/>
        </w:rPr>
        <w:t>, subject/programme committees (including where the minutes or outcomes are published), staff-student liaison committ</w:t>
      </w:r>
      <w:r w:rsidR="000B633C">
        <w:rPr>
          <w:rFonts w:cs="Arial"/>
          <w:szCs w:val="22"/>
        </w:rPr>
        <w:t>ees, etc.</w:t>
      </w:r>
      <w:r w:rsidR="004353B2">
        <w:rPr>
          <w:rFonts w:cs="Arial"/>
          <w:szCs w:val="22"/>
        </w:rPr>
        <w:t xml:space="preserve"> </w:t>
      </w:r>
    </w:p>
    <w:p w14:paraId="5C93D1E4" w14:textId="77777777" w:rsidR="00281E23" w:rsidRDefault="00281E23" w:rsidP="004353B2">
      <w:pPr>
        <w:rPr>
          <w:rFonts w:cs="Arial"/>
          <w:szCs w:val="22"/>
        </w:rPr>
      </w:pPr>
    </w:p>
    <w:p w14:paraId="76CEB68F" w14:textId="77777777" w:rsidR="004353B2" w:rsidRDefault="004353B2" w:rsidP="005B6528">
      <w:pPr>
        <w:pStyle w:val="Headv2"/>
      </w:pPr>
      <w:r>
        <w:t>Programme Specification</w:t>
      </w:r>
    </w:p>
    <w:p w14:paraId="733E9225" w14:textId="0963B869" w:rsidR="004353B2" w:rsidRDefault="00D53066" w:rsidP="004353B2">
      <w:pPr>
        <w:rPr>
          <w:rFonts w:cs="Arial"/>
          <w:szCs w:val="22"/>
        </w:rPr>
      </w:pPr>
      <w:r>
        <w:rPr>
          <w:rFonts w:cs="Arial"/>
          <w:szCs w:val="22"/>
        </w:rPr>
        <w:t xml:space="preserve">Give a link to the </w:t>
      </w:r>
      <w:r w:rsidR="0070767E">
        <w:rPr>
          <w:rFonts w:cs="Arial"/>
          <w:szCs w:val="22"/>
        </w:rPr>
        <w:t xml:space="preserve">relevant </w:t>
      </w:r>
      <w:r>
        <w:rPr>
          <w:rFonts w:cs="Arial"/>
          <w:szCs w:val="22"/>
        </w:rPr>
        <w:t>approved Programme Specification held on</w:t>
      </w:r>
      <w:r w:rsidR="00776623">
        <w:rPr>
          <w:rFonts w:cs="Arial"/>
          <w:szCs w:val="22"/>
        </w:rPr>
        <w:t xml:space="preserve"> the APQO website</w:t>
      </w:r>
      <w:r w:rsidR="0070767E">
        <w:rPr>
          <w:rFonts w:cs="Arial"/>
          <w:szCs w:val="22"/>
        </w:rPr>
        <w:t xml:space="preserve"> </w:t>
      </w:r>
      <w:hyperlink r:id="rId21" w:history="1">
        <w:r w:rsidR="0070767E">
          <w:rPr>
            <w:rStyle w:val="Hyperlink"/>
          </w:rPr>
          <w:t>https://www.brookes.ac.uk/asa/apqo/programme-specifications/</w:t>
        </w:r>
      </w:hyperlink>
    </w:p>
    <w:sectPr w:rsidR="004353B2" w:rsidSect="003A32A7">
      <w:footerReference w:type="default" r:id="rId22"/>
      <w:headerReference w:type="first" r:id="rId23"/>
      <w:footerReference w:type="first" r:id="rId24"/>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6932" w14:textId="77777777" w:rsidR="00227629" w:rsidRDefault="00227629">
      <w:r>
        <w:separator/>
      </w:r>
    </w:p>
  </w:endnote>
  <w:endnote w:type="continuationSeparator" w:id="0">
    <w:p w14:paraId="2632C284" w14:textId="77777777" w:rsidR="00227629" w:rsidRDefault="0022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647A" w14:textId="73A2A3A6" w:rsidR="005141DF" w:rsidRDefault="00571883" w:rsidP="00571883">
    <w:pPr>
      <w:pStyle w:val="Footer"/>
    </w:pPr>
    <w:r w:rsidRPr="00571883">
      <w:rPr>
        <w:i/>
        <w:noProof/>
        <w:sz w:val="21"/>
        <w:szCs w:val="21"/>
        <w:lang w:eastAsia="en-GB"/>
      </w:rPr>
      <mc:AlternateContent>
        <mc:Choice Requires="wps">
          <w:drawing>
            <wp:anchor distT="0" distB="0" distL="114300" distR="114300" simplePos="0" relativeHeight="251659776" behindDoc="0" locked="0" layoutInCell="1" allowOverlap="1" wp14:anchorId="6F06D468" wp14:editId="740F82FA">
              <wp:simplePos x="0" y="0"/>
              <wp:positionH relativeFrom="column">
                <wp:posOffset>6182995</wp:posOffset>
              </wp:positionH>
              <wp:positionV relativeFrom="paragraph">
                <wp:posOffset>-17780</wp:posOffset>
              </wp:positionV>
              <wp:extent cx="226695" cy="226060"/>
              <wp:effectExtent l="0" t="0" r="190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6060"/>
                      </a:xfrm>
                      <a:prstGeom prst="rect">
                        <a:avLst/>
                      </a:prstGeom>
                      <a:solidFill>
                        <a:srgbClr val="FFFFFF"/>
                      </a:solidFill>
                      <a:ln w="9525">
                        <a:noFill/>
                        <a:miter lim="800000"/>
                        <a:headEnd/>
                        <a:tailEnd/>
                      </a:ln>
                    </wps:spPr>
                    <wps:txbx>
                      <w:txbxContent>
                        <w:p w14:paraId="1AD4A73B" w14:textId="77777777" w:rsidR="00571883" w:rsidRPr="00571883" w:rsidRDefault="00571883">
                          <w:pPr>
                            <w:rPr>
                              <w:sz w:val="20"/>
                            </w:rPr>
                          </w:pPr>
                          <w:r w:rsidRPr="00571883">
                            <w:rPr>
                              <w:sz w:val="20"/>
                            </w:rPr>
                            <w:fldChar w:fldCharType="begin"/>
                          </w:r>
                          <w:r w:rsidRPr="00571883">
                            <w:rPr>
                              <w:sz w:val="20"/>
                            </w:rPr>
                            <w:instrText xml:space="preserve"> PAGE   \* MERGEFORMAT </w:instrText>
                          </w:r>
                          <w:r w:rsidRPr="00571883">
                            <w:rPr>
                              <w:sz w:val="20"/>
                            </w:rPr>
                            <w:fldChar w:fldCharType="separate"/>
                          </w:r>
                          <w:r w:rsidR="009D0D4B">
                            <w:rPr>
                              <w:noProof/>
                              <w:sz w:val="20"/>
                            </w:rPr>
                            <w:t>3</w:t>
                          </w:r>
                          <w:r w:rsidRPr="00571883">
                            <w:rPr>
                              <w:noProo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85pt;margin-top:-1.4pt;width:17.85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" stroked="f">
              <v:textbox>
                <w:txbxContent>
                  <w:p w14:paraId="1AD4A73B" w14:textId="77777777" w:rsidR="00571883" w:rsidRPr="00571883" w:rsidRDefault="00571883">
                    <w:pPr>
                      <w:rPr>
                        <w:sz w:val="20"/>
                      </w:rPr>
                    </w:pPr>
                    <w:r w:rsidRPr="00571883">
                      <w:rPr>
                        <w:sz w:val="20"/>
                      </w:rPr>
                      <w:fldChar w:fldCharType="begin"/>
                    </w:r>
                    <w:r w:rsidRPr="00571883">
                      <w:rPr>
                        <w:sz w:val="20"/>
                      </w:rPr>
                      <w:instrText xml:space="preserve"> PAGE   \* MERGEFORMAT </w:instrText>
                    </w:r>
                    <w:r w:rsidRPr="00571883">
                      <w:rPr>
                        <w:sz w:val="20"/>
                      </w:rPr>
                      <w:fldChar w:fldCharType="separate"/>
                    </w:r>
                    <w:r w:rsidR="009D0D4B">
                      <w:rPr>
                        <w:noProof/>
                        <w:sz w:val="20"/>
                      </w:rPr>
                      <w:t>3</w:t>
                    </w:r>
                    <w:r w:rsidRPr="00571883">
                      <w:rPr>
                        <w:noProof/>
                        <w:sz w:val="20"/>
                      </w:rPr>
                      <w:fldChar w:fldCharType="end"/>
                    </w:r>
                  </w:p>
                </w:txbxContent>
              </v:textbox>
            </v:shape>
          </w:pict>
        </mc:Fallback>
      </mc:AlternateContent>
    </w:r>
    <w:r w:rsidR="005141DF" w:rsidRPr="005141DF">
      <w:rPr>
        <w:i/>
        <w:sz w:val="21"/>
        <w:szCs w:val="21"/>
      </w:rPr>
      <w:t xml:space="preserve">Updated </w:t>
    </w:r>
    <w:r w:rsidR="009717E7">
      <w:rPr>
        <w:i/>
        <w:sz w:val="21"/>
        <w:szCs w:val="21"/>
      </w:rPr>
      <w:t>June</w:t>
    </w:r>
    <w:r w:rsidR="00776623">
      <w:rPr>
        <w:i/>
        <w:sz w:val="21"/>
        <w:szCs w:val="21"/>
      </w:rPr>
      <w:t xml:space="preserve"> 2020</w:t>
    </w:r>
  </w:p>
  <w:p w14:paraId="14C04E9A" w14:textId="77777777" w:rsidR="003A32A7" w:rsidRPr="002B1AD6" w:rsidRDefault="003A32A7" w:rsidP="00D31BC2">
    <w:pPr>
      <w:pStyle w:val="Footer"/>
      <w:jc w:val="right"/>
      <w:rPr>
        <w:i/>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B9086" w14:textId="08894972" w:rsidR="009B7D97" w:rsidRPr="009B7D97" w:rsidRDefault="00571883" w:rsidP="00571883">
    <w:pPr>
      <w:pStyle w:val="Footer"/>
      <w:rPr>
        <w:i/>
        <w:sz w:val="21"/>
        <w:szCs w:val="21"/>
      </w:rPr>
    </w:pPr>
    <w:r w:rsidRPr="00571883">
      <w:rPr>
        <w:i/>
        <w:noProof/>
        <w:sz w:val="21"/>
        <w:szCs w:val="21"/>
        <w:lang w:eastAsia="en-GB"/>
      </w:rPr>
      <mc:AlternateContent>
        <mc:Choice Requires="wps">
          <w:drawing>
            <wp:anchor distT="0" distB="0" distL="114300" distR="114300" simplePos="0" relativeHeight="251661824" behindDoc="0" locked="0" layoutInCell="1" allowOverlap="1" wp14:anchorId="10FACF26" wp14:editId="00E98D0C">
              <wp:simplePos x="0" y="0"/>
              <wp:positionH relativeFrom="column">
                <wp:posOffset>6146165</wp:posOffset>
              </wp:positionH>
              <wp:positionV relativeFrom="paragraph">
                <wp:posOffset>-1905</wp:posOffset>
              </wp:positionV>
              <wp:extent cx="257175" cy="2571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4E568218" w14:textId="77777777" w:rsidR="00571883" w:rsidRPr="00571883" w:rsidRDefault="00571883">
                          <w:pPr>
                            <w:rPr>
                              <w:sz w:val="20"/>
                            </w:rPr>
                          </w:pPr>
                          <w:r w:rsidRPr="00571883">
                            <w:rPr>
                              <w:sz w:val="20"/>
                            </w:rPr>
                            <w:fldChar w:fldCharType="begin"/>
                          </w:r>
                          <w:r w:rsidRPr="00571883">
                            <w:rPr>
                              <w:sz w:val="20"/>
                            </w:rPr>
                            <w:instrText xml:space="preserve"> PAGE   \* MERGEFORMAT </w:instrText>
                          </w:r>
                          <w:r w:rsidRPr="00571883">
                            <w:rPr>
                              <w:sz w:val="20"/>
                            </w:rPr>
                            <w:fldChar w:fldCharType="separate"/>
                          </w:r>
                          <w:r w:rsidR="009D0D4B">
                            <w:rPr>
                              <w:noProof/>
                              <w:sz w:val="20"/>
                            </w:rPr>
                            <w:t>1</w:t>
                          </w:r>
                          <w:r w:rsidRPr="00571883">
                            <w:rPr>
                              <w:noProo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3.95pt;margin-top:-.15pt;width:20.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" stroked="f">
              <v:textbox>
                <w:txbxContent>
                  <w:p w14:paraId="4E568218" w14:textId="77777777" w:rsidR="00571883" w:rsidRPr="00571883" w:rsidRDefault="00571883">
                    <w:pPr>
                      <w:rPr>
                        <w:sz w:val="20"/>
                      </w:rPr>
                    </w:pPr>
                    <w:r w:rsidRPr="00571883">
                      <w:rPr>
                        <w:sz w:val="20"/>
                      </w:rPr>
                      <w:fldChar w:fldCharType="begin"/>
                    </w:r>
                    <w:r w:rsidRPr="00571883">
                      <w:rPr>
                        <w:sz w:val="20"/>
                      </w:rPr>
                      <w:instrText xml:space="preserve"> PAGE   \* MERGEFORMAT </w:instrText>
                    </w:r>
                    <w:r w:rsidRPr="00571883">
                      <w:rPr>
                        <w:sz w:val="20"/>
                      </w:rPr>
                      <w:fldChar w:fldCharType="separate"/>
                    </w:r>
                    <w:r w:rsidR="009D0D4B">
                      <w:rPr>
                        <w:noProof/>
                        <w:sz w:val="20"/>
                      </w:rPr>
                      <w:t>1</w:t>
                    </w:r>
                    <w:r w:rsidRPr="00571883">
                      <w:rPr>
                        <w:noProof/>
                        <w:sz w:val="20"/>
                      </w:rPr>
                      <w:fldChar w:fldCharType="end"/>
                    </w:r>
                  </w:p>
                </w:txbxContent>
              </v:textbox>
            </v:shape>
          </w:pict>
        </mc:Fallback>
      </mc:AlternateContent>
    </w:r>
    <w:r w:rsidR="009B7D97" w:rsidRPr="009B7D97">
      <w:rPr>
        <w:i/>
        <w:sz w:val="21"/>
        <w:szCs w:val="21"/>
      </w:rPr>
      <w:t xml:space="preserve">Updated </w:t>
    </w:r>
    <w:r w:rsidR="009717E7">
      <w:rPr>
        <w:i/>
        <w:sz w:val="21"/>
        <w:szCs w:val="21"/>
      </w:rPr>
      <w:t>June</w:t>
    </w:r>
    <w:r w:rsidR="00972700">
      <w:rPr>
        <w:i/>
        <w:sz w:val="21"/>
        <w:szCs w:val="21"/>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97B92" w14:textId="77777777" w:rsidR="00227629" w:rsidRDefault="00227629">
      <w:r>
        <w:separator/>
      </w:r>
    </w:p>
  </w:footnote>
  <w:footnote w:type="continuationSeparator" w:id="0">
    <w:p w14:paraId="422BCA58" w14:textId="77777777" w:rsidR="00227629" w:rsidRDefault="00227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3D4C" w14:textId="77777777" w:rsidR="0031421B" w:rsidRDefault="009B7D97" w:rsidP="00517C8C">
    <w:pPr>
      <w:pStyle w:val="Headv2"/>
    </w:pPr>
    <w:r>
      <w:drawing>
        <wp:anchor distT="0" distB="0" distL="114300" distR="114300" simplePos="0" relativeHeight="251657728" behindDoc="1" locked="0" layoutInCell="1" allowOverlap="1" wp14:anchorId="1220B1ED" wp14:editId="0B568361">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A5C">
      <w:t>Academic Policy &amp; Quality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B4666"/>
    <w:multiLevelType w:val="hybridMultilevel"/>
    <w:tmpl w:val="F822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B970C6"/>
    <w:multiLevelType w:val="hybridMultilevel"/>
    <w:tmpl w:val="4E904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0137BD1"/>
    <w:multiLevelType w:val="hybridMultilevel"/>
    <w:tmpl w:val="CD164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E00CE5"/>
    <w:multiLevelType w:val="hybridMultilevel"/>
    <w:tmpl w:val="772C4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CDB5368"/>
    <w:multiLevelType w:val="hybridMultilevel"/>
    <w:tmpl w:val="1DC68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92F5113"/>
    <w:multiLevelType w:val="hybridMultilevel"/>
    <w:tmpl w:val="5C661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nsid w:val="62AC3519"/>
    <w:multiLevelType w:val="hybridMultilevel"/>
    <w:tmpl w:val="6792E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89968A0"/>
    <w:multiLevelType w:val="hybridMultilevel"/>
    <w:tmpl w:val="43C42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8"/>
  </w:num>
  <w:num w:numId="4">
    <w:abstractNumId w:val="10"/>
  </w:num>
  <w:num w:numId="5">
    <w:abstractNumId w:val="13"/>
  </w:num>
  <w:num w:numId="6">
    <w:abstractNumId w:val="9"/>
  </w:num>
  <w:num w:numId="7">
    <w:abstractNumId w:val="5"/>
  </w:num>
  <w:num w:numId="8">
    <w:abstractNumId w:val="12"/>
  </w:num>
  <w:num w:numId="9">
    <w:abstractNumId w:val="7"/>
  </w:num>
  <w:num w:numId="10">
    <w:abstractNumId w:val="6"/>
  </w:num>
  <w:num w:numId="11">
    <w:abstractNumId w:val="11"/>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97"/>
    <w:rsid w:val="00006104"/>
    <w:rsid w:val="000126D7"/>
    <w:rsid w:val="00022D58"/>
    <w:rsid w:val="000361DA"/>
    <w:rsid w:val="00042941"/>
    <w:rsid w:val="000617FA"/>
    <w:rsid w:val="00063F37"/>
    <w:rsid w:val="000A3930"/>
    <w:rsid w:val="000B1B4F"/>
    <w:rsid w:val="000B633C"/>
    <w:rsid w:val="000C1F7E"/>
    <w:rsid w:val="000C6CB4"/>
    <w:rsid w:val="000D221A"/>
    <w:rsid w:val="000F3FE6"/>
    <w:rsid w:val="001427B0"/>
    <w:rsid w:val="0016086E"/>
    <w:rsid w:val="001760C7"/>
    <w:rsid w:val="001E0A23"/>
    <w:rsid w:val="00206D8D"/>
    <w:rsid w:val="00227629"/>
    <w:rsid w:val="00230C69"/>
    <w:rsid w:val="00261525"/>
    <w:rsid w:val="002653A4"/>
    <w:rsid w:val="00267158"/>
    <w:rsid w:val="00280527"/>
    <w:rsid w:val="00281E23"/>
    <w:rsid w:val="0029458A"/>
    <w:rsid w:val="002B1AD6"/>
    <w:rsid w:val="0031421B"/>
    <w:rsid w:val="00316447"/>
    <w:rsid w:val="003233B7"/>
    <w:rsid w:val="00324574"/>
    <w:rsid w:val="00326E2C"/>
    <w:rsid w:val="003372CC"/>
    <w:rsid w:val="00341B53"/>
    <w:rsid w:val="0034719A"/>
    <w:rsid w:val="00370ECD"/>
    <w:rsid w:val="0038075D"/>
    <w:rsid w:val="003952BD"/>
    <w:rsid w:val="003A32A7"/>
    <w:rsid w:val="003B1A83"/>
    <w:rsid w:val="003B76A1"/>
    <w:rsid w:val="003C076A"/>
    <w:rsid w:val="003C2D01"/>
    <w:rsid w:val="003E1CD3"/>
    <w:rsid w:val="003E75D0"/>
    <w:rsid w:val="003E7FB0"/>
    <w:rsid w:val="00415EF0"/>
    <w:rsid w:val="00427189"/>
    <w:rsid w:val="004353B2"/>
    <w:rsid w:val="0049461A"/>
    <w:rsid w:val="00495DB9"/>
    <w:rsid w:val="004D3E4E"/>
    <w:rsid w:val="004E247F"/>
    <w:rsid w:val="004E6988"/>
    <w:rsid w:val="004F61D2"/>
    <w:rsid w:val="005141DF"/>
    <w:rsid w:val="00517C8C"/>
    <w:rsid w:val="005250B0"/>
    <w:rsid w:val="00564DDC"/>
    <w:rsid w:val="00565441"/>
    <w:rsid w:val="005662DD"/>
    <w:rsid w:val="00566B7D"/>
    <w:rsid w:val="00571883"/>
    <w:rsid w:val="005A0D24"/>
    <w:rsid w:val="005B6528"/>
    <w:rsid w:val="005C5962"/>
    <w:rsid w:val="005D4A08"/>
    <w:rsid w:val="005F5676"/>
    <w:rsid w:val="006019A6"/>
    <w:rsid w:val="00623531"/>
    <w:rsid w:val="006554C0"/>
    <w:rsid w:val="00685725"/>
    <w:rsid w:val="006B7A32"/>
    <w:rsid w:val="006F49BF"/>
    <w:rsid w:val="0070767E"/>
    <w:rsid w:val="0070799A"/>
    <w:rsid w:val="00713C5D"/>
    <w:rsid w:val="00714717"/>
    <w:rsid w:val="00724DD8"/>
    <w:rsid w:val="00732207"/>
    <w:rsid w:val="00752746"/>
    <w:rsid w:val="007555FF"/>
    <w:rsid w:val="00766959"/>
    <w:rsid w:val="00776623"/>
    <w:rsid w:val="00777EA5"/>
    <w:rsid w:val="00784C90"/>
    <w:rsid w:val="00794026"/>
    <w:rsid w:val="007C22EC"/>
    <w:rsid w:val="007C6BBA"/>
    <w:rsid w:val="007C6C47"/>
    <w:rsid w:val="007F3C92"/>
    <w:rsid w:val="007F5A87"/>
    <w:rsid w:val="0083187F"/>
    <w:rsid w:val="00833761"/>
    <w:rsid w:val="00845100"/>
    <w:rsid w:val="0088717C"/>
    <w:rsid w:val="008C7B8C"/>
    <w:rsid w:val="008E7BC2"/>
    <w:rsid w:val="00901B25"/>
    <w:rsid w:val="00925FDD"/>
    <w:rsid w:val="00933B47"/>
    <w:rsid w:val="0095454A"/>
    <w:rsid w:val="0095712F"/>
    <w:rsid w:val="0096131E"/>
    <w:rsid w:val="009717E7"/>
    <w:rsid w:val="00972700"/>
    <w:rsid w:val="009745E3"/>
    <w:rsid w:val="00990900"/>
    <w:rsid w:val="00996BD9"/>
    <w:rsid w:val="00997A4B"/>
    <w:rsid w:val="009A51C7"/>
    <w:rsid w:val="009A7C97"/>
    <w:rsid w:val="009B7D97"/>
    <w:rsid w:val="009C5ADA"/>
    <w:rsid w:val="009D0D4B"/>
    <w:rsid w:val="009D6163"/>
    <w:rsid w:val="009D61E2"/>
    <w:rsid w:val="009E34EB"/>
    <w:rsid w:val="009E3B4D"/>
    <w:rsid w:val="00A06FD1"/>
    <w:rsid w:val="00A23445"/>
    <w:rsid w:val="00A24FF4"/>
    <w:rsid w:val="00A2735A"/>
    <w:rsid w:val="00A31A5C"/>
    <w:rsid w:val="00A4481F"/>
    <w:rsid w:val="00A52A79"/>
    <w:rsid w:val="00A532F9"/>
    <w:rsid w:val="00A82070"/>
    <w:rsid w:val="00AA7B04"/>
    <w:rsid w:val="00AD4070"/>
    <w:rsid w:val="00AD7304"/>
    <w:rsid w:val="00AE18D3"/>
    <w:rsid w:val="00AE7195"/>
    <w:rsid w:val="00B00462"/>
    <w:rsid w:val="00B21DD1"/>
    <w:rsid w:val="00B26542"/>
    <w:rsid w:val="00B32CBD"/>
    <w:rsid w:val="00B46EC1"/>
    <w:rsid w:val="00B50D22"/>
    <w:rsid w:val="00B54E87"/>
    <w:rsid w:val="00B56425"/>
    <w:rsid w:val="00B6259C"/>
    <w:rsid w:val="00B712B8"/>
    <w:rsid w:val="00B8286E"/>
    <w:rsid w:val="00BD36EF"/>
    <w:rsid w:val="00BE7969"/>
    <w:rsid w:val="00C04152"/>
    <w:rsid w:val="00C31F14"/>
    <w:rsid w:val="00CA2635"/>
    <w:rsid w:val="00CD0D0E"/>
    <w:rsid w:val="00CF658D"/>
    <w:rsid w:val="00D31BC2"/>
    <w:rsid w:val="00D36F30"/>
    <w:rsid w:val="00D46674"/>
    <w:rsid w:val="00D53066"/>
    <w:rsid w:val="00D713D2"/>
    <w:rsid w:val="00D73D62"/>
    <w:rsid w:val="00D755FF"/>
    <w:rsid w:val="00DC68C0"/>
    <w:rsid w:val="00E00955"/>
    <w:rsid w:val="00E107D9"/>
    <w:rsid w:val="00E23788"/>
    <w:rsid w:val="00E31754"/>
    <w:rsid w:val="00E46D7B"/>
    <w:rsid w:val="00E5578C"/>
    <w:rsid w:val="00E64767"/>
    <w:rsid w:val="00E66A2A"/>
    <w:rsid w:val="00E75F29"/>
    <w:rsid w:val="00EA1663"/>
    <w:rsid w:val="00EB6B0E"/>
    <w:rsid w:val="00ED637A"/>
    <w:rsid w:val="00EE4DD5"/>
    <w:rsid w:val="00F05515"/>
    <w:rsid w:val="00F10C31"/>
    <w:rsid w:val="00F60D5C"/>
    <w:rsid w:val="00F66B6E"/>
    <w:rsid w:val="00F74633"/>
    <w:rsid w:val="00F763D4"/>
    <w:rsid w:val="00FB1229"/>
    <w:rsid w:val="00FD1D1A"/>
    <w:rsid w:val="00FF58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EFF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uiPriority w:val="99"/>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character" w:styleId="FollowedHyperlink">
    <w:name w:val="FollowedHyperlink"/>
    <w:basedOn w:val="DefaultParagraphFont"/>
    <w:uiPriority w:val="99"/>
    <w:semiHidden/>
    <w:unhideWhenUsed/>
    <w:rsid w:val="00230C69"/>
    <w:rPr>
      <w:color w:val="800080" w:themeColor="followedHyperlink"/>
      <w:u w:val="single"/>
    </w:rPr>
  </w:style>
  <w:style w:type="paragraph" w:styleId="NormalWeb">
    <w:name w:val="Normal (Web)"/>
    <w:basedOn w:val="Normal"/>
    <w:uiPriority w:val="99"/>
    <w:semiHidden/>
    <w:unhideWhenUsed/>
    <w:rsid w:val="00AE18D3"/>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uiPriority w:val="99"/>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character" w:styleId="FollowedHyperlink">
    <w:name w:val="FollowedHyperlink"/>
    <w:basedOn w:val="DefaultParagraphFont"/>
    <w:uiPriority w:val="99"/>
    <w:semiHidden/>
    <w:unhideWhenUsed/>
    <w:rsid w:val="00230C69"/>
    <w:rPr>
      <w:color w:val="800080" w:themeColor="followedHyperlink"/>
      <w:u w:val="single"/>
    </w:rPr>
  </w:style>
  <w:style w:type="paragraph" w:styleId="NormalWeb">
    <w:name w:val="Normal (Web)"/>
    <w:basedOn w:val="Normal"/>
    <w:uiPriority w:val="99"/>
    <w:semiHidden/>
    <w:unhideWhenUsed/>
    <w:rsid w:val="00AE18D3"/>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73957">
      <w:bodyDiv w:val="1"/>
      <w:marLeft w:val="0"/>
      <w:marRight w:val="0"/>
      <w:marTop w:val="0"/>
      <w:marBottom w:val="0"/>
      <w:divBdr>
        <w:top w:val="none" w:sz="0" w:space="0" w:color="auto"/>
        <w:left w:val="none" w:sz="0" w:space="0" w:color="auto"/>
        <w:bottom w:val="none" w:sz="0" w:space="0" w:color="auto"/>
        <w:right w:val="none" w:sz="0" w:space="0" w:color="auto"/>
      </w:divBdr>
    </w:div>
    <w:div w:id="15536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ookes.ac.uk/students/sirt/academic-appeals/" TargetMode="External"/><Relationship Id="rId18" Type="http://schemas.openxmlformats.org/officeDocument/2006/relationships/hyperlink" Target="http://www.brookesunion.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ookes.ac.uk/asa/apqo/programme-specifications/" TargetMode="External"/><Relationship Id="rId7" Type="http://schemas.openxmlformats.org/officeDocument/2006/relationships/footnotes" Target="footnotes.xml"/><Relationship Id="rId12" Type="http://schemas.openxmlformats.org/officeDocument/2006/relationships/hyperlink" Target="https://www.brookes.ac.uk/students/your-studies/exceptional-circumstances/" TargetMode="External"/><Relationship Id="rId17" Type="http://schemas.openxmlformats.org/officeDocument/2006/relationships/hyperlink" Target="https://www.brookes.ac.uk/stud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ookes.ac.uk/students/sirt/student-conduct/academic-misconduct/" TargetMode="External"/><Relationship Id="rId20" Type="http://schemas.openxmlformats.org/officeDocument/2006/relationships/hyperlink" Target="http://www.brookes.ac.uk/a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ookes.ac.uk/regulation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rookes.ac.uk/students/upgrade/study-skills/academic-integrity/" TargetMode="External"/><Relationship Id="rId23" Type="http://schemas.openxmlformats.org/officeDocument/2006/relationships/header" Target="header1.xml"/><Relationship Id="rId10" Type="http://schemas.openxmlformats.org/officeDocument/2006/relationships/hyperlink" Target="https://www.brookes.ac.uk/students/your-studies/module-choices/" TargetMode="External"/><Relationship Id="rId19" Type="http://schemas.openxmlformats.org/officeDocument/2006/relationships/hyperlink" Target="http://www.brookes.ac.uk/students" TargetMode="External"/><Relationship Id="rId4" Type="http://schemas.microsoft.com/office/2007/relationships/stylesWithEffects" Target="stylesWithEffects.xml"/><Relationship Id="rId9" Type="http://schemas.openxmlformats.org/officeDocument/2006/relationships/hyperlink" Target="https://www.brookes.ac.uk/accessibility/" TargetMode="External"/><Relationship Id="rId14" Type="http://schemas.openxmlformats.org/officeDocument/2006/relationships/hyperlink" Target="https://www.brookes.ac.uk/students/sirt/student-complain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BB5-8733-4B2F-98A8-719CC10B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0</TotalTime>
  <Pages>4</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OBIS</cp:lastModifiedBy>
  <cp:revision>2</cp:revision>
  <cp:lastPrinted>2015-10-12T13:57:00Z</cp:lastPrinted>
  <dcterms:created xsi:type="dcterms:W3CDTF">2021-11-17T17:40:00Z</dcterms:created>
  <dcterms:modified xsi:type="dcterms:W3CDTF">2021-11-17T17:40:00Z</dcterms:modified>
</cp:coreProperties>
</file>